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C7" w:rsidRDefault="008243C7" w:rsidP="008243C7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от 11 декабря 2014 года № 378 о строительстве</w:t>
      </w:r>
    </w:p>
    <w:bookmarkEnd w:id="0"/>
    <w:p w:rsidR="008243C7" w:rsidRDefault="008243C7" w:rsidP="008243C7">
      <w:pPr>
        <w:pStyle w:val="print-ico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0" name="Рисунок 20" descr="Print">
              <a:hlinkClick xmlns:a="http://schemas.openxmlformats.org/drawingml/2006/main" r:id="rId5" tooltip="&quot;Print article &lt; О внесении изменений в постановление от 11 декабря 2014 года № 378 о строительств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">
                      <a:hlinkClick r:id="rId5" tooltip="&quot;Print article &lt; О внесении изменений в постановление от 11 декабря 2014 года № 378 о строительств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C7" w:rsidRDefault="008243C7" w:rsidP="008243C7">
      <w:pPr>
        <w:pStyle w:val="email-ico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9" name="Рисунок 1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8243C7" w:rsidTr="008243C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8243C7" w:rsidRDefault="008243C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8243C7" w:rsidRDefault="008243C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8243C7" w:rsidTr="008243C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«_11__»_04__2017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221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50__</w:t>
            </w:r>
          </w:p>
        </w:tc>
      </w:tr>
      <w:tr w:rsidR="008243C7" w:rsidTr="008243C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a3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243C7" w:rsidTr="008243C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378 «Об утверждении муниципальной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программы" Комплексное и устойчивое развитие в сфере строительства, архитектуры и дорожного хозяйства Старонижестеблиевского сельского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поселения Красноармейского района»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243C7" w:rsidTr="008243C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      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 Внести изменение в муниципальную программу "Комплексное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района" и читать ее в настоящей редакции (прилагается).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 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8243C7" w:rsidRDefault="008243C7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8243C7" w:rsidRDefault="008243C7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 Постановление вступает в силу со дня его обнародования.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Старонижестеблиевского сельского поселения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В.В. Новак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ЛИСТ СОГЛАСОВАНИЯ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«О внесении изменений в постановление главы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378  «Об утверждении муниципальной  программы" Комплексное и устойчивое развитие в сфере строительства, архитектуры и дорожного хозяйства Старонижестеблиевского сельского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поселения Красноармейского района»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Главный специалист по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8243C7" w:rsidRDefault="008243C7" w:rsidP="008243C7">
      <w:pPr>
        <w:shd w:val="clear" w:color="auto" w:fill="FFFFFF"/>
        <w:spacing w:line="384" w:lineRule="atLeast"/>
        <w:ind w:firstLine="567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__11.04.2017г__ № __50__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"Комплексное и устойчивое развитие в сфере строительства, архитектуры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и дорожного хозяйства Старонижестеблиевского сельского поселения</w:t>
      </w:r>
    </w:p>
    <w:p w:rsidR="008243C7" w:rsidRDefault="008243C7" w:rsidP="008243C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района" "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61"/>
      </w:tblGrid>
      <w:tr w:rsidR="008243C7" w:rsidTr="008243C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"Комплексное и устойчивое развитие в сфере строительства, архитектуры и дорожного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хозяйства Старонижестеблиевского сельского поселения Красноармейского района"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Координатор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муниципальной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23"/>
              <w:spacing w:after="0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Подпрограмма: «Реконструкция, капитальный ремонт и ремонт улично-дорожной сети Старонижестеблиевского сельского поселения Красноармейского района»;</w:t>
            </w:r>
          </w:p>
          <w:p w:rsidR="008243C7" w:rsidRDefault="008243C7">
            <w:pPr>
              <w:pStyle w:val="23"/>
              <w:spacing w:after="0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подпрограмма: ««</w:t>
            </w:r>
            <w:r>
              <w:rPr>
                <w:rFonts w:ascii="inherit" w:hAnsi="inherit" w:cs="Arial"/>
                <w:color w:val="000000"/>
                <w:sz w:val="28"/>
                <w:szCs w:val="28"/>
                <w:bdr w:val="none" w:sz="0" w:space="0" w:color="auto" w:frame="1"/>
              </w:rPr>
              <w:t>Развитие архитектуры и градостроительства Старонижестеблиевского сельского поселения 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района»;</w:t>
            </w:r>
          </w:p>
          <w:p w:rsidR="008243C7" w:rsidRDefault="008243C7">
            <w:pPr>
              <w:pStyle w:val="23"/>
              <w:spacing w:after="0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подпрограмма: «Поддержка субъектов малого и среднего предпринимательства Старонижестеблиевского </w:t>
            </w:r>
            <w:r>
              <w:rPr>
                <w:rFonts w:ascii="inherit" w:hAnsi="inherit" w:cs="Arial"/>
                <w:color w:val="333333"/>
                <w:spacing w:val="-1"/>
                <w:sz w:val="28"/>
                <w:szCs w:val="28"/>
                <w:bdr w:val="none" w:sz="0" w:space="0" w:color="auto" w:frame="1"/>
              </w:rPr>
              <w:t>сельского поселения</w:t>
            </w:r>
            <w:r>
              <w:rPr>
                <w:rFonts w:ascii="inherit" w:hAnsi="inherit" w:cs="Arial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Красноармейского района»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;</w:t>
            </w:r>
          </w:p>
          <w:p w:rsidR="008243C7" w:rsidRDefault="008243C7">
            <w:pPr>
              <w:pStyle w:val="23"/>
              <w:spacing w:after="0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подпрограмма ««Землеустройство и землепользование Старонижестеблиевского сельского поселения Красноармейского района»                    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Цели муниципальной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транспорта;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повышение уровня жизни населения за счет формирования улично-дорожной сети,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сооветствующей потребностям населения и 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эко-номики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автомобильнымтранспортом,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 дорожнотранспортных происшествий и  потерь отних, 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повышение инвестиционной привлекательности Старонижестеблиевского сельского поселения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района;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Развитие дорожного хозяйства и архитектуры Старонижестеблиевского сельского поселения Красноармейского района;</w:t>
            </w:r>
          </w:p>
          <w:p w:rsidR="008243C7" w:rsidRDefault="008243C7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проведение реконструкции, капитальногоремонта и ремонта объектов улично-дорожной сети Старонижестеблиевского сельского поселения Красноармейского района, расширение сети автомобильныхдорог с твердым покрытием, их ремонт,доведение транспортно-эксплуатационных показателей автомобильных дорог до нормативных требований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Перечень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целевых показателей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муниципальной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сумма бюджетных средств направленных на развитие дорожного хозяйства и архитектуры сельского поселения;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Этапы и сроки реализации муниципальной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2015-2017 годы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2015 год – 10221,2 тысяч рублей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2016 год – 14098,7 тысяч рублей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2017 год – 8785,3 тысяч рублей</w:t>
            </w:r>
          </w:p>
        </w:tc>
      </w:tr>
      <w:tr w:rsidR="008243C7" w:rsidTr="008243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Хорошее состояние улично-дорожной сети - необходимое условие успешного развития экономики Старонижестеблиевского сельского поселения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улучшения условий жизни населения. Развитие промышленного производства, сельского хозяйства, увеличение количества автотранспортных средств у населения,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том числе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грузовых,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интенсивность их эксплуатации существенно обостряет проблему нагрузки на дорожное покрытие, а так же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в течение суток около 40 - 60 минут свободного или рабочего времени из-за низких скоростей движения (25 - 35 км/ч).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Неразвитость улично-дорожной сети Старонижестеблиевского сельского поселения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Отсутствие подъездов к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населенным пунктам по автомобильным дорогам с твердым покрытием сдерживает их развитие, ведет к оттоку из них трудоспособного населения, а впоследствии и к прекращению их существования.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Недостаточный уровень развития улично-дорожной сети Старонижестеблиевского сельского поселения по сравнению с темпами роста парка автотранспортных средств приводит к сдерживанию его социально-экономического развития.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 Отставание в развитии улично-дорожной сети Старонижестеблиевского сельского поселения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является сдерживающим фактором экономического роста и повышения качества жизни населения.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Указанные проблемы обусловливают необходимость решения их программными методами.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Цели,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и целевые показатели муниципальной программы</w:t>
      </w:r>
    </w:p>
    <w:p w:rsidR="008243C7" w:rsidRDefault="008243C7" w:rsidP="008243C7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23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263"/>
        <w:gridCol w:w="1248"/>
        <w:gridCol w:w="850"/>
        <w:gridCol w:w="1419"/>
        <w:gridCol w:w="1275"/>
        <w:gridCol w:w="1580"/>
      </w:tblGrid>
      <w:tr w:rsidR="008243C7" w:rsidTr="008243C7">
        <w:trPr>
          <w:trHeight w:val="48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8243C7" w:rsidTr="008243C7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6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  "Комплексное и устойчивое развитие в сфере</w:t>
            </w:r>
          </w:p>
          <w:p w:rsidR="008243C7" w:rsidRDefault="008243C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строительства, архитектуры и дорожного хозяйства Старонижестеблиевского сельского поселения Красноармейского района" " на 2015-2017 годы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14098,7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8785,3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Разработка проекта организации дорожного движения на территории Старонижестеблиевского сельского поселения: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31,0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32,0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Схема движения грузового транспорта на территории Старонижестеблиевского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12,0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Ремонт и реконструкция автомобильных дорог с асфальтовым покрытием, местного значения улично-дорожной сети Старонижестеблиевского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2,8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Кубанская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0,32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Чигрина от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Дорожной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0,36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Красноармейская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от ул. Ватутина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до ул. Западной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0,41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Афанасенко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от ул. Красная Заря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0,26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Ленина от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Кооперативной до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Кубанской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0,26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Шевченко от ул. Красной до ул. Ленина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0,41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Мира от ул. Первомайской до пер. Мира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0,4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и капитальный ремонт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ул. Красной от ул. Народной до ул. Советской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хутор им.Крупской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0,38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Грейдирование гравийных и грунтовых автомобильных дорог местного значения улично-дорожной сети Старонижестеблиевского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Установка дорожных знаков, согласно предписаниям ГИБДД и результатам обследования автомобильных дорог Старонижестеблиевского сельского поселения Красноармейского района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Нанесение линий дорожной разметки по ул. Кооперативной, Мира согласно предписаниям и результатам обследования ГИБДД Красноармейского района.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м.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Обустройство улично-дорожной сети населённых пунктов искусственными неровностями в местах массового скопления детей, нанесение линий дорожной разметки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1,0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0,75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Строительство тротуара по ул. Кооперативной от ул. Казачья до ул. Чигрина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0,3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Строительство тротуара по ул. Афанасенко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Строительство тротуара по ул. Кирпичной х. им. Крупской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0,25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акций: «Внимание – дети!», «Зебра» и т.д.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слётов юных инспекторов движения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Участие жителей в создании архитектурного облика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4100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Изготовление градостроительного чертежа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Изготовление проекта планировки земельного участка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Межевание земельных участков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Привлечение индивидуальных предпринимателей в развитие архитектуры и дорожного хозяйства поселения и бережного отношения к земле.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a4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Публикация регулярной целенаправленной пропаганды малого и среднего предпринимательства среди различных слоев населения в СМИ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кв.см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380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a4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Приобретение благодарственных писем «Лучшие предприниматели Старонижестеблиевского сельского поселения Красноармейского района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</w:tr>
      <w:tr w:rsidR="008243C7" w:rsidTr="008243C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a4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Изготовление рекламных баннеров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> 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  архитектуры и дорожного хозяйства Старонижестеблиевского сельского поселения Красноармейского района.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  <w:bdr w:val="none" w:sz="0" w:space="0" w:color="auto" w:frame="1"/>
        </w:rPr>
        <w:t>2. Перечень основных мероприятий муниципальной программы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  <w:bdr w:val="none" w:sz="0" w:space="0" w:color="auto" w:frame="1"/>
        </w:rPr>
        <w:t> </w:t>
      </w:r>
    </w:p>
    <w:tbl>
      <w:tblPr>
        <w:tblW w:w="10665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845"/>
        <w:gridCol w:w="773"/>
        <w:gridCol w:w="1570"/>
        <w:gridCol w:w="1597"/>
        <w:gridCol w:w="1141"/>
        <w:gridCol w:w="1141"/>
        <w:gridCol w:w="1183"/>
        <w:gridCol w:w="1769"/>
        <w:gridCol w:w="2723"/>
      </w:tblGrid>
      <w:tr w:rsidR="008243C7" w:rsidTr="008243C7">
        <w:trPr>
          <w:trHeight w:val="39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Источники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Непосредственный результат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8243C7" w:rsidTr="008243C7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 год реализации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 год реализации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 год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8243C7" w:rsidTr="008243C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8243C7" w:rsidTr="008243C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8243C7" w:rsidTr="008243C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дорожного хозяйства и архитектуры Старонижестеблиевского сельского поселения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</w:tc>
      </w:tr>
      <w:tr w:rsidR="008243C7" w:rsidTr="008243C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Подпрограмма№1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8243C7" w:rsidTr="008243C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8243C7" w:rsidTr="008243C7"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32021,4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9901,0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13555,1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8565,3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28582,2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7201,0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12815,9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8565,3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3439,2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2700,0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739,2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16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Реконструкция,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27082,2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6701,0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12315,9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8065,3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16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Реконструкция,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3439,2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739,2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10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Повышение безопасности дорожного движения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1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9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23"/>
              <w:spacing w:after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«Развитие архитектуры и градостроительства Старонижестеблиевского сельского поселения Красноармейского района»</w:t>
            </w:r>
          </w:p>
        </w:tc>
      </w:tr>
      <w:tr w:rsidR="008243C7" w:rsidTr="008243C7">
        <w:trPr>
          <w:trHeight w:val="46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23"/>
              <w:spacing w:after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«</w:t>
            </w: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Развитие архитектуры и градостроительства Старонижестеблиевского сельского поселения</w:t>
            </w: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Красноармейского района» </w:t>
            </w:r>
          </w:p>
        </w:tc>
      </w:tr>
      <w:tr w:rsidR="008243C7" w:rsidTr="008243C7">
        <w:trPr>
          <w:trHeight w:val="3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1029,2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523,6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51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1029,2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523,6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35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4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2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194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pStyle w:val="23"/>
              <w:spacing w:after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«</w:t>
            </w: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Развитие архитектуры и градостроительства</w:t>
            </w:r>
          </w:p>
          <w:p w:rsidR="008243C7" w:rsidRDefault="008243C7">
            <w:pPr>
              <w:pStyle w:val="23"/>
              <w:spacing w:after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8243C7" w:rsidRDefault="008243C7">
            <w:pPr>
              <w:pStyle w:val="23"/>
              <w:spacing w:after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Красноармейского района»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1029,2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523,6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34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52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61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«Поддержка субъектов малого и среднего предпринимательства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71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«Поддержка субъектов малого и среднего предпринимательства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</w:tr>
      <w:tr w:rsidR="008243C7" w:rsidTr="008243C7">
        <w:trPr>
          <w:trHeight w:val="35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3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17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28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5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2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16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«Поддержка субъектов малого и среднего предпринимательства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29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40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«Землеустройство и землепользование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52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«Землеустройство и землепользование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</w:tr>
      <w:tr w:rsidR="008243C7" w:rsidTr="008243C7">
        <w:trPr>
          <w:trHeight w:val="39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34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34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43C7" w:rsidRDefault="008243C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26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8243C7" w:rsidTr="008243C7">
        <w:trPr>
          <w:trHeight w:val="69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«Землеустройство и землепользование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</w:t>
            </w:r>
            <w:r>
              <w:rPr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8243C7" w:rsidTr="008243C7">
        <w:trPr>
          <w:trHeight w:val="22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</w:tbl>
    <w:p w:rsidR="008243C7" w:rsidRDefault="008243C7" w:rsidP="008243C7">
      <w:pPr>
        <w:pStyle w:val="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44-ФЗ"О контрактной системе в сфере закупок товаров, работ, услуг для обеспечения государственных и муниципальных нужд".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6. Оценка эффективности реализации Программы.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первом этапе осуществляется оценка эффективности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включенных в муниципальную программу, и включает: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реализации 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достижения ожидаемых непосредственных результатов их реализации;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входящих в муниципальную программу;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и достижения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достижении следующих результатов: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уровню расходов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бюджета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10. Оценка степени достижения целей и решения задач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основного мероприятия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28"/>
          <w:szCs w:val="28"/>
          <w:bdr w:val="none" w:sz="0" w:space="0" w:color="auto" w:frame="1"/>
        </w:rPr>
        <w:t>11. Оценка эффективности реализации основного мероприятия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х 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color w:val="333333"/>
          <w:sz w:val="28"/>
          <w:szCs w:val="28"/>
          <w:bdr w:val="none" w:sz="0" w:space="0" w:color="auto" w:frame="1"/>
        </w:rPr>
        <w:t>11.2.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неудовлетворительной.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 1.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28"/>
          <w:szCs w:val="28"/>
          <w:bdr w:val="none" w:sz="0" w:space="0" w:color="auto" w:frame="1"/>
        </w:rPr>
        <w:t>13. Оценка эффективности реализации муниципальной программы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коэффициент 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8243C7" w:rsidRDefault="008243C7" w:rsidP="008243C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j-той основного мероприятия в отчетном году;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 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муниципальной программы;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местности.</w:t>
      </w:r>
    </w:p>
    <w:p w:rsidR="008243C7" w:rsidRDefault="008243C7" w:rsidP="008243C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 Старонижестеблиевского сельского поселения Красноармейского района до 01 апреля года, следующего за отчетным, также Отчет о реализации мероприятий Программы и использовании бюджетных средств администрация сельского поселения представляется Совету депутатов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2160"/>
      </w:tblGrid>
      <w:tr w:rsidR="008243C7" w:rsidTr="008243C7">
        <w:tc>
          <w:tcPr>
            <w:tcW w:w="7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243C7" w:rsidRDefault="008243C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</w:tbl>
    <w:p w:rsidR="008243C7" w:rsidRDefault="008243C7" w:rsidP="008243C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251257" w:rsidRPr="008243C7" w:rsidRDefault="00251257" w:rsidP="008243C7"/>
    <w:sectPr w:rsidR="00251257" w:rsidRPr="0082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D71"/>
    <w:multiLevelType w:val="multilevel"/>
    <w:tmpl w:val="5B6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90114"/>
    <w:multiLevelType w:val="multilevel"/>
    <w:tmpl w:val="1CA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F2A4F"/>
    <w:multiLevelType w:val="multilevel"/>
    <w:tmpl w:val="87F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D6386"/>
    <w:multiLevelType w:val="multilevel"/>
    <w:tmpl w:val="D54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30FC7"/>
    <w:multiLevelType w:val="multilevel"/>
    <w:tmpl w:val="D32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11103"/>
    <w:multiLevelType w:val="multilevel"/>
    <w:tmpl w:val="B26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A39E8"/>
    <w:multiLevelType w:val="multilevel"/>
    <w:tmpl w:val="8ED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D4C98"/>
    <w:multiLevelType w:val="multilevel"/>
    <w:tmpl w:val="560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B0D54"/>
    <w:multiLevelType w:val="multilevel"/>
    <w:tmpl w:val="1B8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55A1A"/>
    <w:multiLevelType w:val="multilevel"/>
    <w:tmpl w:val="D5F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67"/>
    <w:rsid w:val="000E2267"/>
    <w:rsid w:val="001124C9"/>
    <w:rsid w:val="00251257"/>
    <w:rsid w:val="002E5391"/>
    <w:rsid w:val="00670901"/>
    <w:rsid w:val="006B7BEF"/>
    <w:rsid w:val="006F1F5C"/>
    <w:rsid w:val="006F2DF1"/>
    <w:rsid w:val="006F2FCA"/>
    <w:rsid w:val="008243C7"/>
    <w:rsid w:val="00A11498"/>
    <w:rsid w:val="00A83F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42E5-1805-4FF7-B249-9F3E8F3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9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5391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7B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7BEF"/>
  </w:style>
  <w:style w:type="paragraph" w:styleId="a9">
    <w:name w:val="Subtitle"/>
    <w:basedOn w:val="a"/>
    <w:link w:val="aa"/>
    <w:uiPriority w:val="11"/>
    <w:qFormat/>
    <w:rsid w:val="006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F2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43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43C7"/>
  </w:style>
  <w:style w:type="paragraph" w:customStyle="1" w:styleId="a40">
    <w:name w:val="a4"/>
    <w:basedOn w:val="a"/>
    <w:rsid w:val="008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15f7e37e88d0f23553458220ca6e0472a437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25-05/2016-09-28-12-27-32/296-o-vnesenii-izmenenij-v-postanovlenie-ot-11-dekabrya-2014-goda-378-o-stroitelstv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2018-08-08T11:07:00Z</dcterms:created>
  <dcterms:modified xsi:type="dcterms:W3CDTF">2018-08-08T11:07:00Z</dcterms:modified>
</cp:coreProperties>
</file>