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2E" w:rsidRDefault="00D9782E" w:rsidP="00D97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E127E3" w:rsidRPr="00532CF6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82E" w:rsidRPr="00532CF6" w:rsidRDefault="00E127E3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338A5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r w:rsidR="001F2516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1F2516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F2516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КРАСНОАРМЕЙСКОГО РАЙОНА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532CF6" w:rsidRDefault="00E127E3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0457" w:rsidRPr="00532CF6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</w:p>
    <w:p w:rsidR="00680457" w:rsidRPr="00532CF6" w:rsidRDefault="00506A04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1F2516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  <w:r w:rsidR="00E127E3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0457" w:rsidRPr="00532CF6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осуществляющим деятельность по </w:t>
      </w:r>
    </w:p>
    <w:p w:rsidR="00680457" w:rsidRPr="00532CF6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холодному водоснабжению на </w:t>
      </w:r>
      <w:r w:rsidR="00D433E5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возмещение</w:t>
      </w:r>
      <w:r w:rsidR="00212B5D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D433E5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 </w:t>
      </w:r>
    </w:p>
    <w:p w:rsidR="00680457" w:rsidRPr="00532CF6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организации, предоставляющей услуги по водоснабжению, </w:t>
      </w:r>
    </w:p>
    <w:p w:rsidR="00680457" w:rsidRPr="00532CF6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бесперебойного и качественного обеспечения надежности </w:t>
      </w:r>
    </w:p>
    <w:p w:rsidR="00680457" w:rsidRPr="00532CF6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</w:t>
      </w:r>
      <w:proofErr w:type="gramStart"/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социа</w:t>
      </w:r>
      <w:r w:rsidR="00A6036F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льной</w:t>
      </w:r>
      <w:proofErr w:type="gramEnd"/>
      <w:r w:rsidR="00A6036F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27E3" w:rsidRPr="00532CF6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напряженности в поселении, проведения отбора получателей субсидий</w:t>
      </w:r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212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5" w:tgtFrame="_blank" w:history="1"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дерации от 31 июля 1998 года</w:t>
        </w:r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индивидуальным предпринимателям, а также физическим лицам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постановления Правительства РФ от 25 октября 2023 г</w:t>
      </w:r>
      <w:r w:rsidR="00CF10C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1781 «Об утверждении Правил отбора получателей субсидий, в том числе грантов в форме субсидий, предо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</w:t>
      </w:r>
      <w:proofErr w:type="gramEnd"/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532CF6" w:rsidRDefault="00E127E3" w:rsidP="00212B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субсидий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стеблиевского</w:t>
      </w:r>
      <w:proofErr w:type="spellEnd"/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осуществляющим деятельность по холодному водоснабжению на во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водоснабж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для бесперебойного и качественного обеспечения надежности водосна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отбора получателей субсидий,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260BD2" w:rsidRPr="00532CF6" w:rsidRDefault="00E127E3" w:rsidP="00260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предоставлении субсидий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дическим лицам, осуществляющим деятельность по холодному водоснабжению на возмещение части затрат организации, предоставляющей услуги по вод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надежности в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доснабжения в летний период, для снятия социальной напряженности в посел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871035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:rsidR="00E127E3" w:rsidRPr="00532CF6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gramStart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</w:t>
      </w:r>
      <w:proofErr w:type="spellStart"/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E127E3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Черепанову Е.Е.</w:t>
      </w:r>
    </w:p>
    <w:p w:rsidR="00871035" w:rsidRPr="00532CF6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на следующий день после его официального опубликования и подлежит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администрации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27E3" w:rsidRPr="00532CF6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875D8" w:rsidRPr="00532CF6" w:rsidRDefault="00506A04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B875D8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127E3" w:rsidRPr="00532CF6" w:rsidRDefault="00B875D8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57" w:rsidRDefault="00680457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44B5C" w:rsidRPr="00145403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44B5C" w:rsidRPr="00145403" w:rsidRDefault="00145403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F117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12B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A90C14" w:rsidRPr="00145403" w:rsidRDefault="00E127E3" w:rsidP="00A90C1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щим деятельность по холодному водоснабжению на возмещение части з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трат организации, предоставляющей услуги по водоснабжению, для бесп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ребойного и качественного обеспечения надежности водоснабжения в ле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ний период, для снятия социальной напряженности в поселении</w:t>
      </w:r>
      <w:r w:rsidR="00A6036F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, провед</w:t>
      </w:r>
      <w:r w:rsidR="00A6036F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A6036F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>ния отбора получателей субсидий</w:t>
      </w:r>
    </w:p>
    <w:p w:rsidR="00E127E3" w:rsidRPr="00145403" w:rsidRDefault="00E127E3" w:rsidP="00432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A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механизм предоставления субсидий 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осуществляющим деятельность по холодному в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доснабжению на возмещение части затрат организации, предоставляющей у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луги по водоснабжению, для бесперебойного и качественного обеспечения н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дежности водоснабжения в летний период, для снятия социальной напряженн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поселении</w:t>
      </w:r>
      <w:r w:rsidR="00A6036F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отбора получателей субсидий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предусмотренных на эти цели в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</w:t>
      </w:r>
      <w:proofErr w:type="gramEnd"/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(далее - бюджет 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:rsidR="001F746F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требованиями, установленными в решении о бюджете</w:t>
      </w:r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 (далее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145403" w:rsidRDefault="005D35D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лодному водоснабжению, для бесперебойного и качественного обеспечения н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дежности водоснабжения в летний период, для снятия социальной напряженн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45403">
        <w:rPr>
          <w:rFonts w:ascii="Times New Roman" w:hAnsi="Times New Roman" w:cs="Times New Roman"/>
          <w:sz w:val="28"/>
          <w:szCs w:val="28"/>
          <w:lang w:eastAsia="ru-RU"/>
        </w:rPr>
        <w:t>сти в поселении, проведения отбора получателей суб</w:t>
      </w:r>
      <w:r w:rsidR="00981EE8" w:rsidRPr="00145403">
        <w:rPr>
          <w:rFonts w:ascii="Times New Roman" w:hAnsi="Times New Roman" w:cs="Times New Roman"/>
          <w:sz w:val="28"/>
          <w:szCs w:val="28"/>
          <w:lang w:eastAsia="ru-RU"/>
        </w:rPr>
        <w:t>сидии</w:t>
      </w:r>
      <w:r w:rsidR="00981EE8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затрат на оплату гарантирующим поставщикам электрической энергии (потребленных энергетических ресурсов))</w:t>
      </w:r>
      <w:r w:rsidR="00981EE8" w:rsidRPr="00145403">
        <w:rPr>
          <w:rFonts w:ascii="Times New Roman" w:hAnsi="Times New Roman" w:cs="Times New Roman"/>
          <w:sz w:val="28"/>
          <w:szCs w:val="28"/>
        </w:rPr>
        <w:t>.</w:t>
      </w:r>
    </w:p>
    <w:p w:rsidR="008E3A9D" w:rsidRPr="00145403" w:rsidRDefault="0087582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8B780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зации, предоставляющей услуги по водоснабжению, для бесперебойного и к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чественного обеспечения надежности водоснабжения в летний период, для сн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социальной напряженности в поселении (частичное возмещение затрат на оплату гарантирующим поставщикам электрической энергии (потребленных энергетических ресурсов)) юридическим лицам, осуществляющим основную деятельность по холодному водоснабжению на территории сельского посел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EB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получателем субсидии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энергетических р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сурсов</w:t>
      </w:r>
      <w:proofErr w:type="gramEnd"/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размере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80 процентов от общего объема п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требленных энергетических ресурсов на цели предоставления субсидии.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14540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информационно-телекоммуникационной сети "Интернет" (далее - сайт Адм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нистрации).</w:t>
      </w:r>
    </w:p>
    <w:p w:rsidR="00E127E3" w:rsidRPr="00145403" w:rsidRDefault="00CE2E5D" w:rsidP="0087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Субсидии предоставляются юридическим лицам, осуществляющим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новную деятельность по холодному вод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оснабжению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 требо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заявка), исходя из очередности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ступления заявок. </w:t>
      </w:r>
    </w:p>
    <w:p w:rsidR="00CE2E5D" w:rsidRPr="00145403" w:rsidRDefault="00981EE8" w:rsidP="00CE2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64EF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средства из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актов на цели, установленные 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(участника отбора)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6" w:tgtFrame="_blank" w:history="1">
        <w:r w:rsidRPr="00145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145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145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(участника отбора)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долженность по возврату в 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  <w:proofErr w:type="gramEnd"/>
    </w:p>
    <w:p w:rsidR="00B07214" w:rsidRPr="00145403" w:rsidRDefault="00B07214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(участник отбора)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отбора) не приостановлена в порядке, предусмотренном законода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B07214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72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согласия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(размещение) на сайте Адм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информации о подаваемой 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субсидии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 и иной 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 субсидии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 об отсутствии ограничений прав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распор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:rsidR="00E127E3" w:rsidRPr="00145403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выписку из Единого государственного реестра юридических лиц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E127E3" w:rsidRPr="00145403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 том, что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находится в процессе рео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ганизации, ликвидации, в отношении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введена процедура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127E3" w:rsidRPr="00145403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об отсутствии в реестре дисквалифицированных лиц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гана, или главном бухгалтере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:rsidR="005E712E" w:rsidRPr="00145403" w:rsidRDefault="008E3A9D" w:rsidP="005E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справку налогового органа 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у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н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логовом счете отсутствует или не превышает размер, определенный пунктом 3 статьи 47 </w:t>
      </w:r>
      <w:hyperlink r:id="rId7" w:tgtFrame="_blank" w:history="1">
        <w:r w:rsidR="005E712E" w:rsidRPr="001454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="005E712E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Федерации;</w:t>
      </w:r>
    </w:p>
    <w:p w:rsidR="00E127E3" w:rsidRPr="00145403" w:rsidRDefault="005B748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об отсутствии просроченной задолженности по возврату в бюджет 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грантов в форме субсидий, бюджетных инвестиций на дату подачи документов.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E7AD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соответс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законодательством.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proofErr w:type="gramStart"/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л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4E7ADA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 w:rsidR="005E712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5D9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 w:rsidR="00EE179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 w:rsidR="00EE179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EE179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 w:rsidR="00EE179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42C97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разъяснения участнику отбора по вопросам, связанным с положениями объявления о проведении отб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 w:rsidR="00EE1799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:rsidR="00E127E3" w:rsidRPr="00145403" w:rsidRDefault="00F30D40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распоряжением администрации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Трудобелико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E127E3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указанные в пун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 w:rsidR="00105F9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05F9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 w:rsidR="009F757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9F757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="009F757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12)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настоящим Порядком требованиям (далее - получатель субсидии).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отбора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отбора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отбора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5 рабочих дней со дня, следующего за днем 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  <w:proofErr w:type="gramEnd"/>
    </w:p>
    <w:p w:rsidR="00182C0C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</w:t>
      </w:r>
      <w:r w:rsidR="00260BD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отбора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 w:rsidR="00F30D40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</w:t>
      </w:r>
      <w:r w:rsidR="00182C0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спись.</w:t>
      </w:r>
    </w:p>
    <w:p w:rsidR="009F757E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 w:rsidR="009F757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87103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9F757E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5811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 w:rsidR="008D5811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 w:rsidR="009F757E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87103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9F757E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Показателями, необходимыми для достижения результата предоставл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:rsidR="00CD366C" w:rsidRPr="00145403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C31F8A" w:rsidRPr="00145403" w:rsidRDefault="00CD366C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28632D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</w:t>
      </w:r>
      <w:r w:rsidR="00C31F8A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31F8A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31F8A"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31F8A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3B4E28" w:rsidRPr="00145403" w:rsidRDefault="00CD366C" w:rsidP="003B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C31F8A" w:rsidRPr="00145403" w:rsidRDefault="00C31F8A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показатель </w:t>
      </w: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F117C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8F117C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больше, чем </w:t>
      </w: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F8A" w:rsidRPr="00145403" w:rsidRDefault="00C31F8A" w:rsidP="00C3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E28" w:rsidRPr="00145403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 w:rsidR="0028632D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="006E6B3F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E6B3F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реднемесячный 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воды, поднятый на 1-го жителя Тр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5A30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добеликовского сельского поселения в летний пери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м</w:t>
      </w:r>
      <w:r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CD366C" w:rsidRPr="00145403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66C" w:rsidRPr="00145403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31F8A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в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Старонижестеблиевском</w:t>
      </w:r>
      <w:proofErr w:type="spellEnd"/>
      <w:r w:rsidR="00C31F8A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8F117C" w:rsidRPr="00145403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6C" w:rsidRPr="00145403" w:rsidRDefault="00C31F8A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F117C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 w:rsidR="008F117C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---------------------, м</w:t>
      </w:r>
      <w:r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за год, предшествующий </w:t>
      </w:r>
      <w:proofErr w:type="gramStart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454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Старонижестеблиевском</w:t>
      </w:r>
      <w:proofErr w:type="spellEnd"/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8F117C" w:rsidRPr="00145403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17C" w:rsidRPr="00145403" w:rsidRDefault="00E127E3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</w:t>
      </w:r>
      <w:r w:rsidR="006E6B3F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устанавливаются в соглашении</w:t>
      </w:r>
      <w:r w:rsidR="009F757E" w:rsidRPr="00145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23" w:rsidRPr="0014540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верки соблюдения ими порядка и условий предоставления субсидий, в том чи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в части достижения результатов их предоставления, а также обеспечивает проведение проверок органами муниципального финансового контроля в соо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со статьями 268.1 и 269.2 Бюджетного кодекса Российской Федер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472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127E3" w:rsidRPr="0014540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</w:t>
      </w:r>
      <w:proofErr w:type="spellStart"/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субсидии, показателей, необходимых для достижения результата предоставл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127E3" w:rsidRPr="0014540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127E3" w:rsidRDefault="00E127E3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субсидий 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нижестеблиевского</w:t>
      </w:r>
      <w:proofErr w:type="spellEnd"/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Красноармейского района юридическим лицам, осуществля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деятельность по холодному в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доснабжению на возмещение части затрат организации, предоставля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услуги по водоснабжению, для бесперебойного и качественного обеспечения надежности водосна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летний период, для снятия социальной напряженности в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отбора получат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сидий</w:t>
      </w:r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</w:t>
      </w:r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Красноармейского района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N _______ от ________ 202_ г.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Pr="00145403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из бюджета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Красноармейского района юридическим лицам, осуществляющим де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по холодному водоснабжению на возмещение части затрат организ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предоставляющей услуги по водоснабжению, для бесперебойного и кач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обеспечения надежности водоснабжения в летний период, для снятия социальной напряженности в поселении</w:t>
      </w:r>
    </w:p>
    <w:p w:rsidR="000F071F" w:rsidRPr="00145403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462" w:type="dxa"/>
        <w:tblCellMar>
          <w:left w:w="0" w:type="dxa"/>
          <w:right w:w="0" w:type="dxa"/>
        </w:tblCellMar>
        <w:tblLook w:val="04A0"/>
      </w:tblPr>
      <w:tblGrid>
        <w:gridCol w:w="588"/>
        <w:gridCol w:w="6180"/>
        <w:gridCol w:w="2694"/>
      </w:tblGrid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перечисления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деятельности (код 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ВЭД)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деятельности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документов: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069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предоставления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________  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юридическим лицам, осуществляющим деятельность по холодному водоснабжению на во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водосна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летний период, для снятия социальной напряженн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сидий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071F" w:rsidRPr="000F071F" w:rsidRDefault="000D1ABC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________________г. № ____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3541D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0F071F" w:rsidRPr="00D9782E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Красноармейского района юридическим лицам, осуществляющим де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по холодному водоснабжению на возмещение части затрат организ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предоставляющей услуги по водоснабжению, для бесперебойного и кач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обеспечения надежности водоснабжения в летний период, для снятия социальной напряженности в поселении</w:t>
      </w:r>
    </w:p>
    <w:p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DC4C08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Старонижестеблиевская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утвержденного решением Совета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_____ № ____, с одной стороны, и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__________________________________________________________________,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8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6871EE" w:rsidRDefault="00AA1A45" w:rsidP="0068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(далее – местный бюджет) в 20__ го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="00190E00"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>му водоснабжению, для бесперебойного и качественного обеспечения надежн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>сти водоснабжения в летний период, для снятия социаль</w:t>
      </w:r>
      <w:r w:rsidR="006871EE" w:rsidRPr="00D3541D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электрической энергии (потребленных энергетических</w:t>
      </w:r>
      <w:proofErr w:type="gramEnd"/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</w:t>
      </w:r>
      <w:r w:rsidR="0019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68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следующего резу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льтата: среднемесячный объем холодной воды, поднятый на одного жителя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</w:t>
      </w:r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 (м</w:t>
      </w:r>
      <w:proofErr w:type="gramStart"/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уб/чел.)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71EE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цифра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заявки получателя субсидии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0"/>
      <w:bookmarkEnd w:id="1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9"/>
      <w:bookmarkStart w:id="3" w:name="P115"/>
      <w:bookmarkEnd w:id="2"/>
      <w:bookmarkEnd w:id="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распоряжением Администрации от "__" ____________ 20__ г. № ___.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8"/>
      <w:bookmarkStart w:id="5" w:name="P127"/>
      <w:bookmarkEnd w:id="4"/>
      <w:bookmarkEnd w:id="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6" w:name="P128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7" w:name="P143"/>
      <w:bookmarkEnd w:id="7"/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B4010"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44"/>
      <w:bookmarkStart w:id="9" w:name="P150"/>
      <w:bookmarkEnd w:id="8"/>
      <w:bookmarkEnd w:id="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проверок осуществляется путем подписания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6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1" w:name="P171"/>
      <w:bookmarkStart w:id="12" w:name="P173"/>
      <w:bookmarkEnd w:id="11"/>
      <w:bookmarkEnd w:id="1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3" w:name="P183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 форме согласно приложения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5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Получателем порядка, целей и условий предоставления субсидии, а также мони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5" w:name="P204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6" w:name="P215"/>
      <w:bookmarkEnd w:id="16"/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33"/>
      <w:bookmarkStart w:id="18" w:name="P234"/>
      <w:bookmarkStart w:id="19" w:name="P249"/>
      <w:bookmarkEnd w:id="17"/>
      <w:bookmarkEnd w:id="18"/>
      <w:bookmarkEnd w:id="1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0" w:name="P263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обосновывающие потребность в направлении остатка субсидии на цели, установленные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субсидию на цели, установленные п. 1.1. настоящего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 w:rsid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80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2" w:name="P283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согласно приложен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91"/>
      <w:bookmarkStart w:id="24" w:name="P298"/>
      <w:bookmarkEnd w:id="23"/>
      <w:bookmarkEnd w:id="2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 Администрации или органа муниципального финансового контроля документы и информацию, необходимые для осуществления контроля за соблюдением порядка, целей и условий предос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факт(ы)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полноту и достоверность сведений, представляемых в Администрацию или орган муниципального финансового контроля в соответствии с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37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44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Заключительные положения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80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осуществляется по соглашению Сторон и оформляется в виде дополнительного соглашения 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 Получателем установленных наст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401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:rsidTr="00145403">
        <w:tc>
          <w:tcPr>
            <w:tcW w:w="5024" w:type="dxa"/>
            <w:vMerge w:val="restart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rPr>
          <w:trHeight w:val="47"/>
        </w:trPr>
        <w:tc>
          <w:tcPr>
            <w:tcW w:w="5024" w:type="dxa"/>
            <w:vMerge/>
            <w:vAlign w:val="center"/>
            <w:hideMark/>
          </w:tcPr>
          <w:p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:rsidTr="00145403">
        <w:tc>
          <w:tcPr>
            <w:tcW w:w="5024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A1A45" w:rsidRPr="00AA1A45" w:rsidRDefault="00DC4C08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="00AA1A45"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A1A45" w:rsidRP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субсидии и достижении результата(</w:t>
      </w:r>
      <w:proofErr w:type="spell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субсидии из бюджета </w:t>
      </w:r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145403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145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7C4D60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 _______________</w:t>
            </w:r>
            <w:r w:rsidR="00AA1A45" w:rsidRPr="00D3541D">
              <w:rPr>
                <w:rFonts w:eastAsia="Times New Roman"/>
                <w:sz w:val="24"/>
                <w:szCs w:val="24"/>
              </w:rPr>
              <w:t>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Причина </w:t>
            </w:r>
            <w:proofErr w:type="spellStart"/>
            <w:r w:rsidRPr="00D3541D">
              <w:rPr>
                <w:rFonts w:eastAsia="Times New Roman"/>
                <w:sz w:val="24"/>
                <w:szCs w:val="24"/>
              </w:rPr>
              <w:t>недостижения</w:t>
            </w:r>
            <w:proofErr w:type="spellEnd"/>
            <w:r w:rsidRPr="00D3541D">
              <w:rPr>
                <w:rFonts w:eastAsia="Times New Roman"/>
                <w:sz w:val="24"/>
                <w:szCs w:val="24"/>
              </w:rPr>
              <w:t xml:space="preserve">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_GoBack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proofErr w:type="spellStart"/>
            <w:r w:rsidR="007C4D60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ронижесте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лиевского</w:t>
            </w:r>
            <w:proofErr w:type="spellEnd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bookmarkEnd w:id="29"/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680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05DE4"/>
    <w:rsid w:val="00007563"/>
    <w:rsid w:val="0001622A"/>
    <w:rsid w:val="00033FC2"/>
    <w:rsid w:val="0004297C"/>
    <w:rsid w:val="000605BA"/>
    <w:rsid w:val="000612D0"/>
    <w:rsid w:val="00072F71"/>
    <w:rsid w:val="00074BDC"/>
    <w:rsid w:val="00077C3A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72DB"/>
    <w:rsid w:val="000C1B54"/>
    <w:rsid w:val="000C1EA6"/>
    <w:rsid w:val="000C6757"/>
    <w:rsid w:val="000D0D16"/>
    <w:rsid w:val="000D1ABC"/>
    <w:rsid w:val="000E1830"/>
    <w:rsid w:val="000E3A5C"/>
    <w:rsid w:val="000F071F"/>
    <w:rsid w:val="00105A82"/>
    <w:rsid w:val="00105F98"/>
    <w:rsid w:val="00112E7B"/>
    <w:rsid w:val="00124CD9"/>
    <w:rsid w:val="00131083"/>
    <w:rsid w:val="001365AD"/>
    <w:rsid w:val="0014266C"/>
    <w:rsid w:val="00145403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2516"/>
    <w:rsid w:val="001F746F"/>
    <w:rsid w:val="001F7E7B"/>
    <w:rsid w:val="00203F90"/>
    <w:rsid w:val="00205DE4"/>
    <w:rsid w:val="0020759E"/>
    <w:rsid w:val="00212B5D"/>
    <w:rsid w:val="002138AF"/>
    <w:rsid w:val="00227C56"/>
    <w:rsid w:val="00236676"/>
    <w:rsid w:val="00237B4B"/>
    <w:rsid w:val="00240069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32D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3DB4"/>
    <w:rsid w:val="003155D4"/>
    <w:rsid w:val="00315670"/>
    <w:rsid w:val="00322304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406132"/>
    <w:rsid w:val="00414164"/>
    <w:rsid w:val="00414C4E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6075"/>
    <w:rsid w:val="004B23AA"/>
    <w:rsid w:val="004C3E0F"/>
    <w:rsid w:val="004C4A65"/>
    <w:rsid w:val="004D542A"/>
    <w:rsid w:val="004D5687"/>
    <w:rsid w:val="004E1EC2"/>
    <w:rsid w:val="004E4A8A"/>
    <w:rsid w:val="004E7ADA"/>
    <w:rsid w:val="004F262F"/>
    <w:rsid w:val="004F51B0"/>
    <w:rsid w:val="004F5C12"/>
    <w:rsid w:val="00506A04"/>
    <w:rsid w:val="005112B0"/>
    <w:rsid w:val="00521621"/>
    <w:rsid w:val="00523256"/>
    <w:rsid w:val="00532CF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C3D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4D60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4D89"/>
    <w:rsid w:val="00893805"/>
    <w:rsid w:val="00893B44"/>
    <w:rsid w:val="00897971"/>
    <w:rsid w:val="008A7A5C"/>
    <w:rsid w:val="008B095F"/>
    <w:rsid w:val="008B367D"/>
    <w:rsid w:val="008B629B"/>
    <w:rsid w:val="008B6692"/>
    <w:rsid w:val="008B7800"/>
    <w:rsid w:val="008C6554"/>
    <w:rsid w:val="008D5811"/>
    <w:rsid w:val="008D6A6B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4F8B"/>
    <w:rsid w:val="00945B4B"/>
    <w:rsid w:val="0095044E"/>
    <w:rsid w:val="0095114A"/>
    <w:rsid w:val="0095640D"/>
    <w:rsid w:val="00963C35"/>
    <w:rsid w:val="009714B6"/>
    <w:rsid w:val="00980FC9"/>
    <w:rsid w:val="00981EE8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3581"/>
    <w:rsid w:val="009E5CDA"/>
    <w:rsid w:val="009F1304"/>
    <w:rsid w:val="009F3361"/>
    <w:rsid w:val="009F63E4"/>
    <w:rsid w:val="009F757E"/>
    <w:rsid w:val="00A042F9"/>
    <w:rsid w:val="00A0451B"/>
    <w:rsid w:val="00A04894"/>
    <w:rsid w:val="00A069C3"/>
    <w:rsid w:val="00A27900"/>
    <w:rsid w:val="00A306E9"/>
    <w:rsid w:val="00A32396"/>
    <w:rsid w:val="00A338A5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932"/>
    <w:rsid w:val="00B1682C"/>
    <w:rsid w:val="00B21FAC"/>
    <w:rsid w:val="00B22276"/>
    <w:rsid w:val="00B23504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35CD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4C08"/>
    <w:rsid w:val="00DC7AA0"/>
    <w:rsid w:val="00DD40CB"/>
    <w:rsid w:val="00DD7DE6"/>
    <w:rsid w:val="00E051D7"/>
    <w:rsid w:val="00E065E4"/>
    <w:rsid w:val="00E07CEB"/>
    <w:rsid w:val="00E127E3"/>
    <w:rsid w:val="00E211B1"/>
    <w:rsid w:val="00E22E6D"/>
    <w:rsid w:val="00E232E4"/>
    <w:rsid w:val="00E310DC"/>
    <w:rsid w:val="00E3180C"/>
    <w:rsid w:val="00E40864"/>
    <w:rsid w:val="00E42B34"/>
    <w:rsid w:val="00E45F2F"/>
    <w:rsid w:val="00E47158"/>
    <w:rsid w:val="00E5047F"/>
    <w:rsid w:val="00E60264"/>
    <w:rsid w:val="00E62C31"/>
    <w:rsid w:val="00E64DF9"/>
    <w:rsid w:val="00E73690"/>
    <w:rsid w:val="00E75BAC"/>
    <w:rsid w:val="00E76959"/>
    <w:rsid w:val="00E8000A"/>
    <w:rsid w:val="00E86328"/>
    <w:rsid w:val="00E9434B"/>
    <w:rsid w:val="00E950AD"/>
    <w:rsid w:val="00E95EEA"/>
    <w:rsid w:val="00E9632A"/>
    <w:rsid w:val="00E97D03"/>
    <w:rsid w:val="00EA493F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91625"/>
    <w:rsid w:val="00FA0E6D"/>
    <w:rsid w:val="00FA1499"/>
    <w:rsid w:val="00FA1EBA"/>
    <w:rsid w:val="00FA7C66"/>
    <w:rsid w:val="00FB096A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E7E206217B3FDAF067B44BCB48754EB219BEF9CF7C3815FB69D7A9E5FC9D26585C24O4o7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75C2-5BDE-4BCD-A8A6-6923D0E4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Каленикина Людмила Владимировна</dc:creator>
  <cp:keywords/>
  <dc:description/>
  <cp:lastModifiedBy>админ</cp:lastModifiedBy>
  <cp:revision>21</cp:revision>
  <cp:lastPrinted>2024-06-24T08:24:00Z</cp:lastPrinted>
  <dcterms:created xsi:type="dcterms:W3CDTF">2024-06-19T13:35:00Z</dcterms:created>
  <dcterms:modified xsi:type="dcterms:W3CDTF">2024-06-24T08:26:00Z</dcterms:modified>
</cp:coreProperties>
</file>