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A80D4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D66AB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BD66AB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</w:t>
            </w:r>
            <w:r w:rsidR="00A80D4B">
              <w:rPr>
                <w:rFonts w:ascii="Times New Roman" w:hAnsi="Times New Roman" w:cs="Times New Roman"/>
                <w:bCs/>
              </w:rPr>
              <w:t>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D66AB">
              <w:rPr>
                <w:rFonts w:ascii="Times New Roman" w:hAnsi="Times New Roman" w:cs="Times New Roman"/>
                <w:bCs/>
              </w:rPr>
              <w:t>178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031B" w:rsidRDefault="00D2031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Pr="00C737CC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2031B" w:rsidRDefault="00D2031B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</w:t>
      </w:r>
      <w:r w:rsidR="00533D7F">
        <w:rPr>
          <w:b w:val="0"/>
          <w:szCs w:val="28"/>
        </w:rPr>
        <w:t>5</w:t>
      </w:r>
      <w:r w:rsidR="00DC0A33">
        <w:rPr>
          <w:b w:val="0"/>
          <w:szCs w:val="28"/>
        </w:rPr>
        <w:t xml:space="preserve">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113762" w:rsidRDefault="007C0548" w:rsidP="0011376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13762" w:rsidRPr="00262BC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13762"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3762"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 w:rsidR="00113762">
        <w:rPr>
          <w:rFonts w:ascii="Times New Roman" w:hAnsi="Times New Roman" w:cs="Times New Roman"/>
          <w:sz w:val="28"/>
          <w:szCs w:val="28"/>
        </w:rPr>
        <w:t>-</w:t>
      </w:r>
    </w:p>
    <w:p w:rsidR="00113762" w:rsidRPr="00262BCF" w:rsidRDefault="00113762" w:rsidP="00113762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Pr="007C054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4992" w:rsidRDefault="00D437E9" w:rsidP="00864992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64992" w:rsidRDefault="00864992" w:rsidP="00864992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37E9">
        <w:rPr>
          <w:rFonts w:ascii="Times New Roman" w:hAnsi="Times New Roman" w:cs="Times New Roman"/>
          <w:sz w:val="28"/>
          <w:szCs w:val="28"/>
        </w:rPr>
        <w:t>,</w:t>
      </w:r>
    </w:p>
    <w:p w:rsidR="00864992" w:rsidRPr="00D2031B" w:rsidRDefault="00864992" w:rsidP="00864992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D2031B">
        <w:rPr>
          <w:rFonts w:ascii="Times New Roman" w:hAnsi="Times New Roman" w:cs="Times New Roman"/>
          <w:sz w:val="28"/>
          <w:szCs w:val="28"/>
        </w:rPr>
        <w:t>м</w:t>
      </w:r>
      <w:r w:rsidR="00D437E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D2031B">
        <w:rPr>
          <w:rFonts w:ascii="Times New Roman" w:hAnsi="Times New Roman" w:cs="Times New Roman"/>
          <w:sz w:val="28"/>
          <w:szCs w:val="28"/>
        </w:rPr>
        <w:t>района</w:t>
      </w:r>
      <w:r w:rsidR="00D2031B">
        <w:rPr>
          <w:rFonts w:ascii="Times New Roman" w:hAnsi="Times New Roman" w:cs="Times New Roman"/>
          <w:sz w:val="28"/>
          <w:szCs w:val="28"/>
        </w:rPr>
        <w:tab/>
      </w:r>
      <w:r w:rsidR="00D2031B">
        <w:rPr>
          <w:rFonts w:ascii="Times New Roman" w:hAnsi="Times New Roman" w:cs="Times New Roman"/>
          <w:sz w:val="28"/>
          <w:szCs w:val="28"/>
        </w:rPr>
        <w:tab/>
      </w:r>
      <w:r w:rsidR="00D2031B">
        <w:rPr>
          <w:rFonts w:ascii="Times New Roman" w:hAnsi="Times New Roman" w:cs="Times New Roman"/>
          <w:sz w:val="28"/>
          <w:szCs w:val="28"/>
        </w:rPr>
        <w:tab/>
      </w:r>
      <w:r w:rsidR="00D2031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37E9">
        <w:rPr>
          <w:rFonts w:ascii="Times New Roman" w:hAnsi="Times New Roman" w:cs="Times New Roman"/>
          <w:sz w:val="28"/>
          <w:szCs w:val="28"/>
        </w:rPr>
        <w:t>В.В.Новак</w:t>
      </w: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728C" w:rsidRDefault="00CD728C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</w:t>
      </w:r>
      <w:r w:rsidR="00A80D4B">
        <w:rPr>
          <w:rFonts w:ascii="Times New Roman" w:hAnsi="Times New Roman" w:cs="Times New Roman"/>
          <w:sz w:val="28"/>
          <w:szCs w:val="28"/>
        </w:rPr>
        <w:t>4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700E24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20447" w:rsidRPr="002B01EA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711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</w:t>
            </w:r>
            <w:r w:rsidR="007114A3">
              <w:rPr>
                <w:rFonts w:ascii="Times New Roman" w:hAnsi="Times New Roman" w:cs="Times New Roman"/>
              </w:rPr>
              <w:t>5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647A6D">
              <w:rPr>
                <w:rFonts w:ascii="Times New Roman" w:hAnsi="Times New Roman" w:cs="Times New Roman"/>
              </w:rPr>
              <w:t>9633,7</w:t>
            </w:r>
            <w:r w:rsidR="00190D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777049">
              <w:rPr>
                <w:rFonts w:ascii="Times New Roman" w:hAnsi="Times New Roman" w:cs="Times New Roman"/>
              </w:rPr>
              <w:t>90,8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</w:t>
            </w:r>
            <w:r w:rsidR="004A07FC">
              <w:rPr>
                <w:rFonts w:ascii="Times New Roman" w:hAnsi="Times New Roman" w:cs="Times New Roman"/>
              </w:rPr>
              <w:t>1988,7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190D03">
              <w:rPr>
                <w:rFonts w:ascii="Times New Roman" w:hAnsi="Times New Roman" w:cs="Times New Roman"/>
              </w:rPr>
              <w:t>1774,2</w:t>
            </w:r>
            <w:r w:rsidR="00B20447" w:rsidRPr="00D1299D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7114A3" w:rsidRDefault="007114A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</w:t>
            </w:r>
            <w:r w:rsidR="00647A6D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 тысяч рублей</w:t>
            </w:r>
          </w:p>
          <w:p w:rsidR="007114A3" w:rsidRPr="00D1299D" w:rsidRDefault="007114A3" w:rsidP="006F30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6F308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00</w:t>
            </w:r>
            <w:r w:rsidRPr="00D1299D">
              <w:rPr>
                <w:rFonts w:ascii="Times New Roman" w:hAnsi="Times New Roman" w:cs="Times New Roman"/>
              </w:rPr>
              <w:t>,0 тысяч рублей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700E24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7269EB">
        <w:rPr>
          <w:rFonts w:ascii="Times New Roman" w:hAnsi="Times New Roman" w:cs="Times New Roman"/>
          <w:b/>
          <w:sz w:val="28"/>
          <w:szCs w:val="28"/>
        </w:rPr>
        <w:lastRenderedPageBreak/>
        <w:t>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28C" w:rsidRDefault="00CD728C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00E24">
        <w:rPr>
          <w:rFonts w:ascii="Times New Roman" w:hAnsi="Times New Roman" w:cs="Times New Roman"/>
          <w:b/>
          <w:sz w:val="28"/>
        </w:rPr>
        <w:t xml:space="preserve">. Цели, задачи </w:t>
      </w:r>
      <w:r w:rsidRPr="00D1299D">
        <w:rPr>
          <w:rFonts w:ascii="Times New Roman" w:hAnsi="Times New Roman" w:cs="Times New Roman"/>
          <w:b/>
          <w:sz w:val="28"/>
        </w:rPr>
        <w:t>и целевые показатели</w:t>
      </w:r>
      <w:r w:rsidR="00700E24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988"/>
        <w:gridCol w:w="1008"/>
        <w:gridCol w:w="965"/>
        <w:gridCol w:w="993"/>
        <w:gridCol w:w="850"/>
        <w:gridCol w:w="851"/>
        <w:gridCol w:w="851"/>
        <w:gridCol w:w="851"/>
      </w:tblGrid>
      <w:tr w:rsidR="007114A3" w:rsidRPr="00D1299D" w:rsidTr="007114A3">
        <w:trPr>
          <w:trHeight w:val="480"/>
        </w:trPr>
        <w:tc>
          <w:tcPr>
            <w:tcW w:w="502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8" w:type="dxa"/>
            <w:vMerge w:val="restart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08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5" w:type="dxa"/>
            <w:vMerge w:val="restart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96" w:type="dxa"/>
            <w:gridSpan w:val="5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114A3" w:rsidRPr="00D1299D" w:rsidTr="007114A3">
        <w:trPr>
          <w:trHeight w:val="480"/>
        </w:trPr>
        <w:tc>
          <w:tcPr>
            <w:tcW w:w="502" w:type="dxa"/>
            <w:vMerge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  <w:p w:rsidR="007114A3" w:rsidRDefault="007114A3" w:rsidP="007114A3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gridSpan w:val="8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ления Красноармейского района"  </w:t>
            </w:r>
          </w:p>
        </w:tc>
      </w:tr>
      <w:tr w:rsidR="007114A3" w:rsidRPr="00D1299D" w:rsidTr="007114A3"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8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7114A3" w:rsidRPr="00D1299D" w:rsidTr="007114A3">
        <w:trPr>
          <w:trHeight w:val="516"/>
        </w:trPr>
        <w:tc>
          <w:tcPr>
            <w:tcW w:w="502" w:type="dxa"/>
          </w:tcPr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7114A3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7114A3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</w:p>
          <w:p w:rsidR="007114A3" w:rsidRPr="00D1299D" w:rsidRDefault="007114A3" w:rsidP="007114A3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008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5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114A3" w:rsidRPr="00D1299D" w:rsidRDefault="007114A3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7114A3" w:rsidRPr="00D1299D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B20447" w:rsidRDefault="00B20447" w:rsidP="007114A3">
      <w:pPr>
        <w:ind w:right="-284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</w:t>
      </w:r>
      <w:proofErr w:type="spellStart"/>
      <w:proofErr w:type="gramStart"/>
      <w:r w:rsidRPr="00D1299D">
        <w:rPr>
          <w:rFonts w:ascii="Times New Roman" w:hAnsi="Times New Roman" w:cs="Times New Roman"/>
          <w:b/>
          <w:sz w:val="28"/>
        </w:rPr>
        <w:t>му</w:t>
      </w:r>
      <w:proofErr w:type="spellEnd"/>
      <w:r w:rsidR="007114A3">
        <w:rPr>
          <w:rFonts w:ascii="Times New Roman" w:hAnsi="Times New Roman" w:cs="Times New Roman"/>
          <w:b/>
          <w:sz w:val="28"/>
        </w:rPr>
        <w:t xml:space="preserve">              </w:t>
      </w:r>
      <w:proofErr w:type="spellStart"/>
      <w:r w:rsidRPr="00D1299D">
        <w:rPr>
          <w:rFonts w:ascii="Times New Roman" w:hAnsi="Times New Roman" w:cs="Times New Roman"/>
          <w:b/>
          <w:sz w:val="28"/>
        </w:rPr>
        <w:lastRenderedPageBreak/>
        <w:t>ниципальной</w:t>
      </w:r>
      <w:proofErr w:type="spellEnd"/>
      <w:proofErr w:type="gramEnd"/>
      <w:r w:rsidRPr="00D1299D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DC0A33" w:rsidRDefault="00DC0A33" w:rsidP="007C054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031B" w:rsidRDefault="00D2031B" w:rsidP="00CD71B8">
      <w:pPr>
        <w:tabs>
          <w:tab w:val="num" w:pos="0"/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tabs>
          <w:tab w:val="num" w:pos="0"/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D71B8" w:rsidRDefault="00700E24" w:rsidP="00CD71B8">
      <w:pPr>
        <w:tabs>
          <w:tab w:val="num" w:pos="0"/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="00CD71B8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CD71B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851"/>
        <w:gridCol w:w="992"/>
        <w:gridCol w:w="850"/>
        <w:gridCol w:w="851"/>
        <w:gridCol w:w="709"/>
        <w:gridCol w:w="708"/>
        <w:gridCol w:w="709"/>
        <w:gridCol w:w="709"/>
        <w:gridCol w:w="1134"/>
        <w:gridCol w:w="142"/>
        <w:gridCol w:w="1134"/>
      </w:tblGrid>
      <w:tr w:rsidR="0051237B" w:rsidRPr="00D1299D" w:rsidTr="00C21714">
        <w:trPr>
          <w:trHeight w:val="390"/>
        </w:trPr>
        <w:tc>
          <w:tcPr>
            <w:tcW w:w="568" w:type="dxa"/>
            <w:vMerge w:val="restart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1237B" w:rsidRPr="00F815A1" w:rsidRDefault="0051237B" w:rsidP="0051237B">
            <w:pPr>
              <w:ind w:right="-2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1237B" w:rsidRPr="00F815A1" w:rsidRDefault="0051237B" w:rsidP="0051237B">
            <w:pPr>
              <w:ind w:right="-2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51237B" w:rsidRPr="00F815A1" w:rsidRDefault="0051237B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51237B" w:rsidRPr="00F815A1" w:rsidRDefault="0051237B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51237B" w:rsidRPr="00F815A1" w:rsidRDefault="0051237B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51237B" w:rsidRPr="00F815A1" w:rsidRDefault="0051237B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руб.)</w:t>
            </w:r>
          </w:p>
        </w:tc>
        <w:tc>
          <w:tcPr>
            <w:tcW w:w="3686" w:type="dxa"/>
            <w:gridSpan w:val="5"/>
          </w:tcPr>
          <w:p w:rsidR="0051237B" w:rsidRPr="00F815A1" w:rsidRDefault="0051237B" w:rsidP="007C0548">
            <w:pPr>
              <w:ind w:right="-174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51237B" w:rsidRPr="00F815A1" w:rsidRDefault="0051237B" w:rsidP="0051237B">
            <w:pPr>
              <w:ind w:right="-174" w:hanging="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51237B" w:rsidRPr="00F815A1" w:rsidRDefault="0051237B" w:rsidP="007C05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примеру, муниц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пальный заказчик, главный распоряд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бюджетных средств, исполн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51237B" w:rsidRPr="00D1299D" w:rsidTr="00C21714">
        <w:trPr>
          <w:trHeight w:val="225"/>
        </w:trPr>
        <w:tc>
          <w:tcPr>
            <w:tcW w:w="568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1237B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1237B" w:rsidRPr="00F815A1" w:rsidRDefault="00C21714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51237B" w:rsidRPr="00F815A1" w:rsidRDefault="0051237B" w:rsidP="00C21714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1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left="-29" w:right="-284" w:hanging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Развитие бесперебойного и гарантированного удовлетворения потребности населения в части развития систем наружного освещения</w:t>
            </w:r>
          </w:p>
          <w:p w:rsidR="0051237B" w:rsidRPr="00F815A1" w:rsidRDefault="0051237B" w:rsidP="0051237B">
            <w:pPr>
              <w:ind w:left="-29" w:right="-284" w:hanging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благоустройства в части развития систем наружного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51237B" w:rsidRPr="00D1299D" w:rsidTr="00C21714">
        <w:tc>
          <w:tcPr>
            <w:tcW w:w="568" w:type="dxa"/>
          </w:tcPr>
          <w:p w:rsidR="0051237B" w:rsidRPr="00F815A1" w:rsidRDefault="0051237B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134" w:type="dxa"/>
          </w:tcPr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51237B" w:rsidRPr="00F815A1" w:rsidRDefault="0051237B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Мероприятие №1</w:t>
            </w:r>
          </w:p>
        </w:tc>
        <w:tc>
          <w:tcPr>
            <w:tcW w:w="8789" w:type="dxa"/>
            <w:gridSpan w:val="11"/>
          </w:tcPr>
          <w:p w:rsidR="0051237B" w:rsidRPr="00F815A1" w:rsidRDefault="0051237B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армейского 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21EA8" w:rsidRPr="00F815A1" w:rsidRDefault="00647A6D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9633,7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1890,8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1988,7</w:t>
            </w:r>
          </w:p>
        </w:tc>
        <w:tc>
          <w:tcPr>
            <w:tcW w:w="708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1774,2</w:t>
            </w:r>
          </w:p>
        </w:tc>
        <w:tc>
          <w:tcPr>
            <w:tcW w:w="709" w:type="dxa"/>
          </w:tcPr>
          <w:p w:rsidR="00921EA8" w:rsidRPr="00F815A1" w:rsidRDefault="00647A6D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1780,0</w:t>
            </w:r>
          </w:p>
        </w:tc>
        <w:tc>
          <w:tcPr>
            <w:tcW w:w="709" w:type="dxa"/>
          </w:tcPr>
          <w:p w:rsidR="00921EA8" w:rsidRPr="00F815A1" w:rsidRDefault="00B329EB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21EA8" w:rsidRPr="00F815A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Приобрет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ние электр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781,1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708" w:type="dxa"/>
          </w:tcPr>
          <w:p w:rsidR="00921EA8" w:rsidRPr="00F815A1" w:rsidRDefault="006E6B04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Текущий 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монт и ра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ширение си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тем наружн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мейского района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921EA8" w:rsidP="00647A6D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7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21EA8" w:rsidRPr="00F815A1" w:rsidRDefault="00921EA8" w:rsidP="00533D7F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921EA8" w:rsidRPr="00F815A1" w:rsidRDefault="00647A6D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EA8" w:rsidRPr="00F815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21EA8" w:rsidRPr="00F815A1" w:rsidRDefault="00921EA8" w:rsidP="002E5170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21EA8" w:rsidRPr="00D1299D" w:rsidTr="00C21714">
        <w:tc>
          <w:tcPr>
            <w:tcW w:w="568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Развитие бе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перебойного и гарантир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ванного удовлетвор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ния потре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ности нас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ления в части развития си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тем наружн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го освещения </w:t>
            </w: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мейского района</w:t>
            </w:r>
          </w:p>
        </w:tc>
        <w:tc>
          <w:tcPr>
            <w:tcW w:w="851" w:type="dxa"/>
          </w:tcPr>
          <w:p w:rsidR="00921EA8" w:rsidRPr="00F815A1" w:rsidRDefault="00921EA8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21EA8" w:rsidRPr="00F815A1" w:rsidRDefault="00921EA8" w:rsidP="007C0548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</w:tcPr>
          <w:p w:rsidR="00921EA8" w:rsidRPr="00F815A1" w:rsidRDefault="00921EA8" w:rsidP="00B329EB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28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</w:tcPr>
          <w:p w:rsidR="00921EA8" w:rsidRPr="00F815A1" w:rsidRDefault="00921EA8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1671,1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1741,5</w:t>
            </w:r>
          </w:p>
        </w:tc>
        <w:tc>
          <w:tcPr>
            <w:tcW w:w="708" w:type="dxa"/>
          </w:tcPr>
          <w:p w:rsidR="00921EA8" w:rsidRPr="00F815A1" w:rsidRDefault="00921EA8" w:rsidP="005D7D5E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09" w:type="dxa"/>
          </w:tcPr>
          <w:p w:rsidR="00921EA8" w:rsidRPr="00F815A1" w:rsidRDefault="00921EA8" w:rsidP="005D7D5E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709" w:type="dxa"/>
          </w:tcPr>
          <w:p w:rsidR="00921EA8" w:rsidRPr="00F815A1" w:rsidRDefault="00C22814" w:rsidP="00B329E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21EA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134" w:type="dxa"/>
          </w:tcPr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 xml:space="preserve">мейского </w:t>
            </w:r>
          </w:p>
          <w:p w:rsidR="00921EA8" w:rsidRPr="00F815A1" w:rsidRDefault="00921EA8" w:rsidP="0051237B">
            <w:pPr>
              <w:ind w:right="-28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5A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700E24" w:rsidRDefault="00700E24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647A6D">
        <w:rPr>
          <w:rFonts w:ascii="Times New Roman" w:hAnsi="Times New Roman" w:cs="Times New Roman"/>
          <w:sz w:val="28"/>
          <w:szCs w:val="28"/>
        </w:rPr>
        <w:t>9633,7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E2A73">
        <w:rPr>
          <w:rFonts w:ascii="Times New Roman" w:hAnsi="Times New Roman" w:cs="Times New Roman"/>
          <w:sz w:val="28"/>
          <w:szCs w:val="28"/>
        </w:rPr>
        <w:t>1890,8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A0972">
        <w:rPr>
          <w:rFonts w:ascii="Times New Roman" w:hAnsi="Times New Roman" w:cs="Times New Roman"/>
          <w:sz w:val="28"/>
          <w:szCs w:val="28"/>
        </w:rPr>
        <w:t>1988,7</w:t>
      </w:r>
      <w:r w:rsidR="00B20447"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Default="00B20447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E5170">
        <w:rPr>
          <w:rFonts w:ascii="Times New Roman" w:hAnsi="Times New Roman" w:cs="Times New Roman"/>
          <w:sz w:val="28"/>
          <w:szCs w:val="28"/>
        </w:rPr>
        <w:t>1774,2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660EEF" w:rsidRDefault="00660EEF" w:rsidP="00660EE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2024 год – 1</w:t>
      </w:r>
      <w:r w:rsidR="00647A6D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660EEF" w:rsidRDefault="00660EEF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34C48">
        <w:rPr>
          <w:rFonts w:ascii="Times New Roman" w:hAnsi="Times New Roman" w:cs="Times New Roman"/>
          <w:sz w:val="28"/>
          <w:szCs w:val="28"/>
        </w:rPr>
        <w:t>2200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B20447" w:rsidRPr="009D1AEC" w:rsidRDefault="00B20447" w:rsidP="007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p w:rsidR="00CD71B8" w:rsidRPr="009D1AEC" w:rsidRDefault="00CD71B8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852"/>
        <w:gridCol w:w="850"/>
        <w:gridCol w:w="851"/>
        <w:gridCol w:w="850"/>
        <w:gridCol w:w="851"/>
        <w:gridCol w:w="1276"/>
      </w:tblGrid>
      <w:tr w:rsidR="00660EEF" w:rsidRPr="00EF0F10" w:rsidTr="00420EE6">
        <w:trPr>
          <w:trHeight w:val="420"/>
        </w:trPr>
        <w:tc>
          <w:tcPr>
            <w:tcW w:w="660" w:type="dxa"/>
            <w:vMerge w:val="restart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60E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60EE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E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60EEF" w:rsidRDefault="00660EEF" w:rsidP="00660EEF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подпрограммы/ </w:t>
            </w:r>
          </w:p>
          <w:p w:rsidR="00660EEF" w:rsidRPr="00660EEF" w:rsidRDefault="00660EEF" w:rsidP="00660EEF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4254" w:type="dxa"/>
            <w:gridSpan w:val="5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Объем финансирования</w:t>
            </w:r>
          </w:p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EEF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660EEF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660EEF">
              <w:rPr>
                <w:rFonts w:ascii="Times New Roman" w:hAnsi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Источник</w:t>
            </w:r>
          </w:p>
          <w:p w:rsidR="00660EEF" w:rsidRPr="00660EEF" w:rsidRDefault="00660EEF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финансир</w:t>
            </w:r>
            <w:r w:rsidRPr="00660EEF">
              <w:rPr>
                <w:rFonts w:ascii="Times New Roman" w:hAnsi="Times New Roman"/>
                <w:sz w:val="22"/>
                <w:szCs w:val="22"/>
              </w:rPr>
              <w:t>о</w:t>
            </w:r>
            <w:r w:rsidRPr="00660EEF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</w:tr>
      <w:tr w:rsidR="00660EEF" w:rsidRPr="00EF0F10" w:rsidTr="00420EE6">
        <w:trPr>
          <w:trHeight w:val="225"/>
        </w:trPr>
        <w:tc>
          <w:tcPr>
            <w:tcW w:w="660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8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:rsidR="00660EEF" w:rsidRPr="00660EEF" w:rsidRDefault="00660EEF" w:rsidP="00704B16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50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2022</w:t>
            </w:r>
          </w:p>
          <w:p w:rsidR="00660EEF" w:rsidRPr="00660EEF" w:rsidRDefault="00660EEF" w:rsidP="00704B16">
            <w:pPr>
              <w:tabs>
                <w:tab w:val="left" w:pos="885"/>
              </w:tabs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51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2023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50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51" w:type="dxa"/>
          </w:tcPr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660EEF" w:rsidRPr="00660EEF" w:rsidRDefault="00660EEF" w:rsidP="00704B1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276" w:type="dxa"/>
            <w:vMerge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EEF" w:rsidRPr="00EF0F10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58" w:type="dxa"/>
          </w:tcPr>
          <w:p w:rsidR="00660EEF" w:rsidRPr="00660EEF" w:rsidRDefault="00660EEF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60EEF" w:rsidRPr="00EF0F10" w:rsidTr="00704B1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88" w:type="dxa"/>
            <w:gridSpan w:val="7"/>
          </w:tcPr>
          <w:p w:rsidR="00660EEF" w:rsidRPr="00660EEF" w:rsidRDefault="00660EEF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топливно-энергетического комплекса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Красноармейского района</w:t>
            </w:r>
          </w:p>
        </w:tc>
      </w:tr>
      <w:tr w:rsidR="00660EEF" w:rsidRPr="00EF0F10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58" w:type="dxa"/>
          </w:tcPr>
          <w:p w:rsidR="00660EEF" w:rsidRPr="00660EEF" w:rsidRDefault="00660EEF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Развитие бесперебойного и гара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тированного удовлетворения п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требности населения в части 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вития систем наружного освещ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</w:p>
        </w:tc>
        <w:tc>
          <w:tcPr>
            <w:tcW w:w="852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1741,5</w:t>
            </w:r>
          </w:p>
        </w:tc>
        <w:tc>
          <w:tcPr>
            <w:tcW w:w="851" w:type="dxa"/>
          </w:tcPr>
          <w:p w:rsidR="00660EEF" w:rsidRPr="00660EEF" w:rsidRDefault="00660EEF" w:rsidP="00834DED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850" w:type="dxa"/>
          </w:tcPr>
          <w:p w:rsidR="00660EEF" w:rsidRPr="00660EEF" w:rsidRDefault="003D4917" w:rsidP="00834DE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1600,0</w:t>
            </w:r>
          </w:p>
        </w:tc>
        <w:tc>
          <w:tcPr>
            <w:tcW w:w="851" w:type="dxa"/>
          </w:tcPr>
          <w:p w:rsidR="00660EEF" w:rsidRPr="00660EEF" w:rsidRDefault="002217BE" w:rsidP="00834DE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3D4917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C21714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:rsidR="00660EEF" w:rsidRPr="00660EEF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</w:tr>
      <w:tr w:rsidR="00660EEF" w:rsidRPr="00EF0F10" w:rsidTr="00420EE6">
        <w:trPr>
          <w:trHeight w:val="828"/>
        </w:trPr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58" w:type="dxa"/>
          </w:tcPr>
          <w:p w:rsidR="00660EEF" w:rsidRPr="00660EEF" w:rsidRDefault="00660EEF" w:rsidP="00700E24">
            <w:pPr>
              <w:ind w:right="33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Текущий ремонт и расширение систем наружного освещения </w:t>
            </w:r>
            <w:proofErr w:type="spellStart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660EE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Красноармейского ра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660EEF" w:rsidRPr="00660EEF" w:rsidRDefault="003D491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660EEF" w:rsidRPr="00660EEF" w:rsidRDefault="003D491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C21714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:rsidR="00660EEF" w:rsidRPr="00660EEF" w:rsidRDefault="00660EEF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</w:tr>
      <w:tr w:rsidR="00660EEF" w:rsidRPr="00EF0F10" w:rsidTr="00420EE6">
        <w:trPr>
          <w:trHeight w:val="828"/>
        </w:trPr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558" w:type="dxa"/>
          </w:tcPr>
          <w:p w:rsidR="00660EEF" w:rsidRPr="00660EEF" w:rsidRDefault="00660EEF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Приобретение электротоваров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159,7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660EEF">
              <w:rPr>
                <w:rFonts w:ascii="Times New Roman" w:hAnsi="Times New Roman" w:cs="Times New Roman"/>
                <w:sz w:val="22"/>
                <w:szCs w:val="22"/>
              </w:rPr>
              <w:t>197,2</w:t>
            </w:r>
          </w:p>
        </w:tc>
        <w:tc>
          <w:tcPr>
            <w:tcW w:w="851" w:type="dxa"/>
          </w:tcPr>
          <w:p w:rsidR="00660EEF" w:rsidRPr="00660EEF" w:rsidRDefault="002E5170" w:rsidP="00660EEF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</w:p>
        </w:tc>
        <w:tc>
          <w:tcPr>
            <w:tcW w:w="850" w:type="dxa"/>
          </w:tcPr>
          <w:p w:rsidR="00660EEF" w:rsidRPr="00660EEF" w:rsidRDefault="003D4917" w:rsidP="00647A6D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47A6D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60EEF" w:rsidRPr="00660EEF" w:rsidRDefault="003D491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660EEF" w:rsidRPr="00660EEF" w:rsidRDefault="00660EEF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</w:tr>
      <w:tr w:rsidR="00660EEF" w:rsidRPr="00094224" w:rsidTr="00420EE6">
        <w:tc>
          <w:tcPr>
            <w:tcW w:w="660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8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852" w:type="dxa"/>
          </w:tcPr>
          <w:p w:rsidR="00660EEF" w:rsidRPr="00660EEF" w:rsidRDefault="00660EEF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1890,8</w:t>
            </w:r>
          </w:p>
        </w:tc>
        <w:tc>
          <w:tcPr>
            <w:tcW w:w="850" w:type="dxa"/>
          </w:tcPr>
          <w:p w:rsidR="00660EEF" w:rsidRPr="00660EEF" w:rsidRDefault="00660EEF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 w:rsidRPr="00660EEF">
              <w:rPr>
                <w:rFonts w:ascii="Times New Roman" w:hAnsi="Times New Roman"/>
                <w:sz w:val="22"/>
                <w:szCs w:val="22"/>
              </w:rPr>
              <w:t>1988,7</w:t>
            </w:r>
          </w:p>
        </w:tc>
        <w:tc>
          <w:tcPr>
            <w:tcW w:w="851" w:type="dxa"/>
          </w:tcPr>
          <w:p w:rsidR="00660EEF" w:rsidRPr="00660EEF" w:rsidRDefault="002E5170" w:rsidP="00660EEF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1774,2</w:t>
            </w:r>
          </w:p>
        </w:tc>
        <w:tc>
          <w:tcPr>
            <w:tcW w:w="850" w:type="dxa"/>
          </w:tcPr>
          <w:p w:rsidR="00660EEF" w:rsidRPr="00660EEF" w:rsidRDefault="00647A6D" w:rsidP="00420EE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1780,0</w:t>
            </w:r>
          </w:p>
        </w:tc>
        <w:tc>
          <w:tcPr>
            <w:tcW w:w="851" w:type="dxa"/>
          </w:tcPr>
          <w:p w:rsidR="00660EEF" w:rsidRPr="00660EEF" w:rsidRDefault="002217BE" w:rsidP="00420EE6">
            <w:pPr>
              <w:pStyle w:val="ConsNonformat"/>
              <w:widowControl/>
              <w:ind w:right="-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2200,0</w:t>
            </w:r>
          </w:p>
        </w:tc>
        <w:tc>
          <w:tcPr>
            <w:tcW w:w="1276" w:type="dxa"/>
          </w:tcPr>
          <w:p w:rsidR="00660EEF" w:rsidRPr="00660EEF" w:rsidRDefault="00660EEF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этапам реализации муниципальной программы</w:t>
      </w: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700E24" w:rsidRPr="00D1299D" w:rsidRDefault="00700E24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</w:p>
    <w:p w:rsidR="00CD71B8" w:rsidRPr="00C56DC9" w:rsidRDefault="00700E24" w:rsidP="00C56D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E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</w:t>
      </w:r>
      <w:r w:rsidRPr="00700E24">
        <w:rPr>
          <w:rFonts w:ascii="Times New Roman" w:hAnsi="Times New Roman" w:cs="Times New Roman"/>
          <w:sz w:val="28"/>
          <w:szCs w:val="28"/>
        </w:rPr>
        <w:t>з</w:t>
      </w:r>
      <w:r w:rsidRPr="00700E24">
        <w:rPr>
          <w:rFonts w:ascii="Times New Roman" w:hAnsi="Times New Roman" w:cs="Times New Roman"/>
          <w:sz w:val="28"/>
          <w:szCs w:val="28"/>
        </w:rPr>
        <w:t>водится ежегодно, согласно приложению №7 постановления от 07 июня 2017 года № 97 «Об утверждении порядка принятия решения о разработке, фо</w:t>
      </w:r>
      <w:r w:rsidRPr="00700E24">
        <w:rPr>
          <w:rFonts w:ascii="Times New Roman" w:hAnsi="Times New Roman" w:cs="Times New Roman"/>
          <w:sz w:val="28"/>
          <w:szCs w:val="28"/>
        </w:rPr>
        <w:t>р</w:t>
      </w:r>
      <w:r w:rsidRPr="00700E24">
        <w:rPr>
          <w:rFonts w:ascii="Times New Roman" w:hAnsi="Times New Roman" w:cs="Times New Roman"/>
          <w:sz w:val="28"/>
          <w:szCs w:val="28"/>
        </w:rPr>
        <w:t xml:space="preserve">мировании, реализации и оценки эффективности реализации муниципальных программ </w:t>
      </w:r>
      <w:proofErr w:type="spellStart"/>
      <w:r w:rsidRPr="00700E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0E2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700E24" w:rsidRPr="006F2CEE" w:rsidRDefault="00B20447" w:rsidP="00C21714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контроль за ее выполнением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20447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 xml:space="preserve">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D2031B" w:rsidRDefault="00D2031B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031B" w:rsidRDefault="00D2031B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031B" w:rsidRDefault="00D2031B" w:rsidP="00D2031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CD71B8" w:rsidRDefault="00B20447" w:rsidP="00C56DC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муниципальных контрактов (договоров) на поставку </w:t>
      </w:r>
    </w:p>
    <w:p w:rsidR="00B20447" w:rsidRPr="007D234B" w:rsidRDefault="00C56DC9" w:rsidP="00CD71B8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20447" w:rsidRPr="007D234B">
        <w:rPr>
          <w:rFonts w:ascii="Times New Roman" w:hAnsi="Times New Roman" w:cs="Times New Roman"/>
          <w:sz w:val="28"/>
          <w:szCs w:val="28"/>
        </w:rPr>
        <w:t>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20447" w:rsidRPr="00BC3694" w:rsidRDefault="00CD71B8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447"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="00B20447"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 w:rsidR="00B20447">
        <w:rPr>
          <w:rFonts w:ascii="Times New Roman" w:hAnsi="Times New Roman" w:cs="Times New Roman"/>
          <w:sz w:val="28"/>
        </w:rPr>
        <w:t>2021-202</w:t>
      </w:r>
      <w:r w:rsidR="00CB4E6B">
        <w:rPr>
          <w:rFonts w:ascii="Times New Roman" w:hAnsi="Times New Roman" w:cs="Times New Roman"/>
          <w:sz w:val="28"/>
        </w:rPr>
        <w:t>5</w:t>
      </w:r>
      <w:r w:rsidR="00B20447" w:rsidRPr="007D234B">
        <w:rPr>
          <w:rFonts w:ascii="Times New Roman" w:hAnsi="Times New Roman" w:cs="Times New Roman"/>
          <w:sz w:val="28"/>
        </w:rPr>
        <w:t xml:space="preserve"> годы.</w:t>
      </w:r>
    </w:p>
    <w:p w:rsidR="007758F6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</w:p>
    <w:p w:rsidR="007758F6" w:rsidRDefault="007758F6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58F6" w:rsidRDefault="007758F6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58F6" w:rsidRDefault="007758F6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58F6" w:rsidRDefault="007758F6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58F6" w:rsidRDefault="007758F6" w:rsidP="007758F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20447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BC3694">
        <w:rPr>
          <w:rFonts w:ascii="Times New Roman" w:hAnsi="Times New Roman" w:cs="Times New Roman"/>
          <w:sz w:val="28"/>
          <w:szCs w:val="28"/>
        </w:rPr>
        <w:t>е</w:t>
      </w:r>
      <w:r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8F6" w:rsidRDefault="007758F6" w:rsidP="007C0548">
      <w:pPr>
        <w:pStyle w:val="21"/>
        <w:ind w:right="-284"/>
        <w:jc w:val="left"/>
        <w:rPr>
          <w:b w:val="0"/>
        </w:rPr>
      </w:pPr>
    </w:p>
    <w:p w:rsidR="007758F6" w:rsidRDefault="007758F6" w:rsidP="007C0548">
      <w:pPr>
        <w:pStyle w:val="21"/>
        <w:ind w:right="-284"/>
        <w:jc w:val="left"/>
        <w:rPr>
          <w:b w:val="0"/>
        </w:rPr>
      </w:pPr>
    </w:p>
    <w:p w:rsidR="007758F6" w:rsidRDefault="007758F6" w:rsidP="007C0548">
      <w:pPr>
        <w:pStyle w:val="21"/>
        <w:ind w:right="-284"/>
        <w:jc w:val="left"/>
        <w:rPr>
          <w:b w:val="0"/>
        </w:rPr>
      </w:pP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B20447" w:rsidRPr="00C56DC9" w:rsidRDefault="00B20447" w:rsidP="00C56DC9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</w:t>
      </w:r>
      <w:r w:rsidR="00A76994">
        <w:rPr>
          <w:b w:val="0"/>
        </w:rPr>
        <w:t xml:space="preserve">    </w:t>
      </w:r>
      <w:r w:rsidRPr="00D1299D">
        <w:rPr>
          <w:b w:val="0"/>
        </w:rPr>
        <w:t>Е.Е.</w:t>
      </w:r>
      <w:r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sectPr w:rsidR="00B20447" w:rsidRPr="00C56DC9" w:rsidSect="00CD71B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357E"/>
    <w:rsid w:val="00067FD0"/>
    <w:rsid w:val="00084E52"/>
    <w:rsid w:val="000B3626"/>
    <w:rsid w:val="000B3BAB"/>
    <w:rsid w:val="000E562F"/>
    <w:rsid w:val="00113762"/>
    <w:rsid w:val="00121E22"/>
    <w:rsid w:val="0012435A"/>
    <w:rsid w:val="0016098A"/>
    <w:rsid w:val="00190D03"/>
    <w:rsid w:val="001F44B0"/>
    <w:rsid w:val="002217BE"/>
    <w:rsid w:val="00234077"/>
    <w:rsid w:val="002354B6"/>
    <w:rsid w:val="00265512"/>
    <w:rsid w:val="002862AC"/>
    <w:rsid w:val="002E5170"/>
    <w:rsid w:val="002E6819"/>
    <w:rsid w:val="00326389"/>
    <w:rsid w:val="003267EB"/>
    <w:rsid w:val="00332ABB"/>
    <w:rsid w:val="00376414"/>
    <w:rsid w:val="0038429E"/>
    <w:rsid w:val="00390BB1"/>
    <w:rsid w:val="003D4917"/>
    <w:rsid w:val="003E2A73"/>
    <w:rsid w:val="003E2C76"/>
    <w:rsid w:val="003F4B1E"/>
    <w:rsid w:val="003F7653"/>
    <w:rsid w:val="00416973"/>
    <w:rsid w:val="00420EE6"/>
    <w:rsid w:val="00423A9D"/>
    <w:rsid w:val="00486D15"/>
    <w:rsid w:val="00487F84"/>
    <w:rsid w:val="004A07FC"/>
    <w:rsid w:val="004A0972"/>
    <w:rsid w:val="004E2805"/>
    <w:rsid w:val="0051237B"/>
    <w:rsid w:val="00533D7F"/>
    <w:rsid w:val="0053678A"/>
    <w:rsid w:val="005517E7"/>
    <w:rsid w:val="0055316C"/>
    <w:rsid w:val="005832F8"/>
    <w:rsid w:val="005A4BB0"/>
    <w:rsid w:val="005B3D79"/>
    <w:rsid w:val="005D7D5E"/>
    <w:rsid w:val="006409B2"/>
    <w:rsid w:val="00647A6D"/>
    <w:rsid w:val="00660EEF"/>
    <w:rsid w:val="00683A07"/>
    <w:rsid w:val="006A6048"/>
    <w:rsid w:val="006E3415"/>
    <w:rsid w:val="006E6B04"/>
    <w:rsid w:val="006F308D"/>
    <w:rsid w:val="00700E24"/>
    <w:rsid w:val="00704B16"/>
    <w:rsid w:val="007114A3"/>
    <w:rsid w:val="007758F6"/>
    <w:rsid w:val="00777049"/>
    <w:rsid w:val="00782F10"/>
    <w:rsid w:val="007914E4"/>
    <w:rsid w:val="007C0548"/>
    <w:rsid w:val="007D2921"/>
    <w:rsid w:val="007F42F9"/>
    <w:rsid w:val="008126B8"/>
    <w:rsid w:val="00834DED"/>
    <w:rsid w:val="00835ABE"/>
    <w:rsid w:val="00864992"/>
    <w:rsid w:val="00880F9F"/>
    <w:rsid w:val="00921EA8"/>
    <w:rsid w:val="00954616"/>
    <w:rsid w:val="009F1F39"/>
    <w:rsid w:val="00A47A4D"/>
    <w:rsid w:val="00A7636B"/>
    <w:rsid w:val="00A76994"/>
    <w:rsid w:val="00A80D4B"/>
    <w:rsid w:val="00AA5A6B"/>
    <w:rsid w:val="00AC2228"/>
    <w:rsid w:val="00B20447"/>
    <w:rsid w:val="00B329EB"/>
    <w:rsid w:val="00B63797"/>
    <w:rsid w:val="00B82D32"/>
    <w:rsid w:val="00BA1A7E"/>
    <w:rsid w:val="00BD66AB"/>
    <w:rsid w:val="00C21714"/>
    <w:rsid w:val="00C22814"/>
    <w:rsid w:val="00C34C48"/>
    <w:rsid w:val="00C56DC9"/>
    <w:rsid w:val="00C737CC"/>
    <w:rsid w:val="00CB4E6B"/>
    <w:rsid w:val="00CD71B8"/>
    <w:rsid w:val="00CD728C"/>
    <w:rsid w:val="00D13402"/>
    <w:rsid w:val="00D13A09"/>
    <w:rsid w:val="00D15B4D"/>
    <w:rsid w:val="00D2031B"/>
    <w:rsid w:val="00D437E9"/>
    <w:rsid w:val="00D53EA7"/>
    <w:rsid w:val="00D70859"/>
    <w:rsid w:val="00D942AD"/>
    <w:rsid w:val="00DC0A33"/>
    <w:rsid w:val="00E026F7"/>
    <w:rsid w:val="00E16273"/>
    <w:rsid w:val="00E22B4F"/>
    <w:rsid w:val="00E51D67"/>
    <w:rsid w:val="00E75171"/>
    <w:rsid w:val="00E824ED"/>
    <w:rsid w:val="00EF0F10"/>
    <w:rsid w:val="00F12081"/>
    <w:rsid w:val="00F42E5D"/>
    <w:rsid w:val="00F45878"/>
    <w:rsid w:val="00F51630"/>
    <w:rsid w:val="00F815A1"/>
    <w:rsid w:val="00F9531D"/>
    <w:rsid w:val="00FA6C49"/>
    <w:rsid w:val="00FB3EF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No Spacing"/>
    <w:uiPriority w:val="1"/>
    <w:qFormat/>
    <w:rsid w:val="00864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D3F53-5076-477B-B8E7-20332F13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85</cp:revision>
  <cp:lastPrinted>2025-01-10T12:38:00Z</cp:lastPrinted>
  <dcterms:created xsi:type="dcterms:W3CDTF">2015-11-24T06:39:00Z</dcterms:created>
  <dcterms:modified xsi:type="dcterms:W3CDTF">2025-01-13T11:06:00Z</dcterms:modified>
</cp:coreProperties>
</file>