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BA1A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9275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39275D">
              <w:rPr>
                <w:rFonts w:ascii="Times New Roman" w:hAnsi="Times New Roman" w:cs="Times New Roman"/>
                <w:bCs/>
              </w:rPr>
              <w:t>11_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BA1A7E">
              <w:rPr>
                <w:rFonts w:ascii="Times New Roman" w:hAnsi="Times New Roman" w:cs="Times New Roman"/>
                <w:bCs/>
              </w:rPr>
              <w:t>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39275D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Pr="00C737CC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82D32" w:rsidRP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она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C0A33"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ноября 2020 года № 147 «Об утверждении </w:t>
      </w:r>
      <w:proofErr w:type="gramStart"/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82D32" w:rsidRDefault="00B82D32" w:rsidP="00B82D32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82D32" w:rsidRDefault="00B82D32" w:rsidP="00B82D32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AC2228" w:rsidRDefault="00B82D32" w:rsidP="00B8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1F44B0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Default="001F44B0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C0A33" w:rsidRPr="00C737CC" w:rsidRDefault="00DC0A33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20447" w:rsidRPr="00D1299D" w:rsidRDefault="00B20447" w:rsidP="00DC0A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0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="00124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 w:rsidR="00DC0A33"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 w:rsidR="00DC0A33"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</w:t>
      </w:r>
      <w:r w:rsidR="00DC0A33">
        <w:rPr>
          <w:b w:val="0"/>
          <w:szCs w:val="28"/>
        </w:rPr>
        <w:t xml:space="preserve"> Т.А.</w:t>
      </w:r>
      <w:r w:rsidRPr="00D1299D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DC0A33">
        <w:rPr>
          <w:b w:val="0"/>
          <w:szCs w:val="28"/>
        </w:rPr>
        <w:t>в 2021-2023 годах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5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7C0548">
        <w:rPr>
          <w:rFonts w:ascii="Times New Roman" w:hAnsi="Times New Roman" w:cs="Times New Roman"/>
          <w:sz w:val="28"/>
          <w:szCs w:val="28"/>
        </w:rPr>
        <w:t>о</w:t>
      </w:r>
      <w:r w:rsidRPr="007C0548">
        <w:rPr>
          <w:rFonts w:ascii="Times New Roman" w:hAnsi="Times New Roman" w:cs="Times New Roman"/>
          <w:sz w:val="28"/>
          <w:szCs w:val="28"/>
        </w:rPr>
        <w:t>бой.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Pr="00462C27" w:rsidRDefault="00DC0A33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C0A33" w:rsidRDefault="00DC0A33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2C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33" w:rsidRPr="00462C27" w:rsidRDefault="00DC0A33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A33" w:rsidRPr="00462C27" w:rsidRDefault="00DC0A33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7C0548" w:rsidRPr="00826E62" w:rsidRDefault="007C0548" w:rsidP="00DC0A33">
      <w:pPr>
        <w:pStyle w:val="21"/>
        <w:ind w:right="-284"/>
        <w:jc w:val="both"/>
        <w:rPr>
          <w:b w:val="0"/>
          <w:szCs w:val="28"/>
        </w:rPr>
      </w:pPr>
    </w:p>
    <w:p w:rsidR="00B20447" w:rsidRDefault="00B20447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7C0548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риложение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447" w:rsidRPr="00D1299D" w:rsidRDefault="00880F9F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______2021</w:t>
      </w:r>
      <w:r w:rsidR="00B20447">
        <w:rPr>
          <w:rFonts w:ascii="Times New Roman" w:hAnsi="Times New Roman" w:cs="Times New Roman"/>
          <w:sz w:val="28"/>
          <w:szCs w:val="28"/>
        </w:rPr>
        <w:t>г № _</w:t>
      </w:r>
      <w:r w:rsidR="00B20447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B20447" w:rsidRPr="002B01EA" w:rsidRDefault="007C0548" w:rsidP="00B204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447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B20447" w:rsidRPr="002B01EA" w:rsidRDefault="00B20447" w:rsidP="00B20447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C0548">
        <w:rPr>
          <w:rFonts w:ascii="Times New Roman" w:hAnsi="Times New Roman" w:cs="Times New Roman"/>
          <w:b/>
          <w:sz w:val="28"/>
          <w:szCs w:val="28"/>
        </w:rPr>
        <w:t>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47" w:rsidRPr="00D1299D" w:rsidRDefault="00B20447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129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E16273">
              <w:rPr>
                <w:rFonts w:ascii="Times New Roman" w:hAnsi="Times New Roman" w:cs="Times New Roman"/>
              </w:rPr>
              <w:t>5471,1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18</w:t>
            </w:r>
            <w:r w:rsidR="00E16273">
              <w:rPr>
                <w:rFonts w:ascii="Times New Roman" w:hAnsi="Times New Roman" w:cs="Times New Roman"/>
              </w:rPr>
              <w:t>71,1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180</w:t>
            </w:r>
            <w:r w:rsidR="00E162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E1627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1800</w:t>
            </w:r>
            <w:r w:rsidR="00B20447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Заместитель главы 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B20447" w:rsidRDefault="00B20447" w:rsidP="00B20447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17E7" w:rsidRDefault="005517E7" w:rsidP="005517E7">
      <w:pPr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0447" w:rsidRPr="007269EB" w:rsidRDefault="00B20447" w:rsidP="007C0548">
      <w:pPr>
        <w:ind w:right="-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B20447" w:rsidRPr="009608F6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0548" w:rsidRDefault="007C0548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pStyle w:val="ConsPlusNormal"/>
        <w:widowControl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систем наружного освещения населенных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="00DC0A33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D1299D">
        <w:rPr>
          <w:rFonts w:ascii="Times New Roman" w:hAnsi="Times New Roman" w:cs="Times New Roman"/>
          <w:sz w:val="28"/>
          <w:szCs w:val="28"/>
        </w:rPr>
        <w:t>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 xml:space="preserve">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вещенности при меньшем потреблении электроэнергии. Замена существующих светильников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 xml:space="preserve"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>буют применения принципов бюджетного планирования, ориентированного на улучшение состояния освещения населенных пунктов.</w:t>
      </w:r>
    </w:p>
    <w:p w:rsidR="00DC0A33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B20447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="00B20447" w:rsidRPr="00D1299D">
        <w:rPr>
          <w:rFonts w:ascii="Times New Roman" w:hAnsi="Times New Roman" w:cs="Times New Roman"/>
          <w:sz w:val="28"/>
          <w:szCs w:val="28"/>
        </w:rPr>
        <w:t>ж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димостью привлечения к ее решению органов законодательной и исполнител</w:t>
      </w:r>
      <w:r w:rsidR="00B20447" w:rsidRPr="00D1299D">
        <w:rPr>
          <w:rFonts w:ascii="Times New Roman" w:hAnsi="Times New Roman" w:cs="Times New Roman"/>
          <w:sz w:val="28"/>
          <w:szCs w:val="28"/>
        </w:rPr>
        <w:t>ь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ной власти края и органов местного самоуправления.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C0548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1299D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>
        <w:rPr>
          <w:rFonts w:ascii="Times New Roman" w:hAnsi="Times New Roman" w:cs="Times New Roman"/>
          <w:b/>
          <w:sz w:val="28"/>
        </w:rPr>
        <w:t xml:space="preserve">, сроки и этапы реализации </w:t>
      </w:r>
      <w:r w:rsidRPr="00D1299D">
        <w:rPr>
          <w:rFonts w:ascii="Times New Roman" w:hAnsi="Times New Roman" w:cs="Times New Roman"/>
          <w:b/>
          <w:sz w:val="28"/>
        </w:rPr>
        <w:t xml:space="preserve"> </w:t>
      </w:r>
    </w:p>
    <w:p w:rsidR="00B20447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D1299D" w:rsidRDefault="00B20447" w:rsidP="00DC0A33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  <w:proofErr w:type="gramEnd"/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ревшего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B20447" w:rsidRPr="00D1299D" w:rsidTr="001F44B0">
        <w:trPr>
          <w:trHeight w:val="480"/>
        </w:trPr>
        <w:tc>
          <w:tcPr>
            <w:tcW w:w="663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39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20447" w:rsidRPr="00D1299D" w:rsidTr="001F44B0">
        <w:trPr>
          <w:trHeight w:val="480"/>
        </w:trPr>
        <w:tc>
          <w:tcPr>
            <w:tcW w:w="663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селения Красноармейского района"  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D1299D">
        <w:rPr>
          <w:rFonts w:ascii="Times New Roman" w:hAnsi="Times New Roman" w:cs="Times New Roman"/>
          <w:b/>
          <w:sz w:val="28"/>
        </w:rPr>
        <w:t xml:space="preserve"> основных мероприятий м</w:t>
      </w:r>
      <w:r w:rsidRPr="00D1299D">
        <w:rPr>
          <w:rFonts w:ascii="Times New Roman" w:hAnsi="Times New Roman" w:cs="Times New Roman"/>
          <w:b/>
          <w:sz w:val="28"/>
        </w:rPr>
        <w:t>у</w:t>
      </w:r>
      <w:r w:rsidRPr="00D1299D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DC0A33" w:rsidRDefault="00DC0A33" w:rsidP="007C054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tabs>
          <w:tab w:val="num" w:pos="0"/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20447" w:rsidRPr="00D1299D" w:rsidRDefault="00B20447" w:rsidP="00DC0A33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20447" w:rsidRDefault="00B20447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DC0A33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comments" w:history="1"/>
    </w:p>
    <w:p w:rsidR="00DC0A33" w:rsidRPr="00DC0A33" w:rsidRDefault="00DC0A33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B20447" w:rsidRPr="00D1299D" w:rsidTr="00EF0F10">
        <w:trPr>
          <w:trHeight w:val="390"/>
        </w:trPr>
        <w:tc>
          <w:tcPr>
            <w:tcW w:w="56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ние</w:t>
            </w:r>
          </w:p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1" w:type="dxa"/>
            <w:vMerge w:val="restart"/>
          </w:tcPr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Объем </w:t>
            </w:r>
          </w:p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Непосре</w:t>
            </w:r>
            <w:r w:rsidRPr="00D1299D"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ственный результат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 w:val="restart"/>
          </w:tcPr>
          <w:p w:rsidR="00B20447" w:rsidRPr="00D1299D" w:rsidRDefault="00B20447" w:rsidP="007C05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</w:t>
            </w:r>
            <w:proofErr w:type="gramStart"/>
            <w:r w:rsidRPr="00D1299D">
              <w:rPr>
                <w:rFonts w:ascii="Times New Roman" w:hAnsi="Times New Roman" w:cs="Times New Roman"/>
              </w:rPr>
              <w:t>ь(</w:t>
            </w:r>
            <w:proofErr w:type="gramEnd"/>
            <w:r w:rsidRPr="00D1299D">
              <w:rPr>
                <w:rFonts w:ascii="Times New Roman" w:hAnsi="Times New Roman" w:cs="Times New Roman"/>
              </w:rPr>
              <w:t>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B20447" w:rsidRPr="00D1299D" w:rsidTr="00EF0F10">
        <w:trPr>
          <w:trHeight w:val="225"/>
        </w:trPr>
        <w:tc>
          <w:tcPr>
            <w:tcW w:w="56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потребн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сти населения в части развития систем наружного освещения</w:t>
            </w:r>
          </w:p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62175A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62175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2175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20447" w:rsidRPr="00463040" w:rsidRDefault="005D7D5E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5471,1</w:t>
            </w:r>
          </w:p>
        </w:tc>
        <w:tc>
          <w:tcPr>
            <w:tcW w:w="993" w:type="dxa"/>
          </w:tcPr>
          <w:p w:rsidR="00B20447" w:rsidRPr="0046304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</w:tcPr>
          <w:p w:rsidR="00B20447" w:rsidRPr="0046304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851" w:type="dxa"/>
          </w:tcPr>
          <w:p w:rsidR="00B20447" w:rsidRPr="0046304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lastRenderedPageBreak/>
              <w:t>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ширение </w:t>
            </w:r>
            <w:r w:rsidRPr="00D1299D">
              <w:rPr>
                <w:rFonts w:ascii="Times New Roman" w:hAnsi="Times New Roman" w:cs="Times New Roman"/>
              </w:rPr>
              <w:t>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7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перебойного и гарантирова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ного удовл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творения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селения в ча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ти развития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ружного о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ронижесте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Pr="00D1299D">
              <w:rPr>
                <w:rFonts w:ascii="Times New Roman" w:hAnsi="Times New Roman" w:cs="Times New Roman"/>
              </w:rPr>
              <w:t>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5D7D5E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4871,1</w:t>
            </w:r>
          </w:p>
        </w:tc>
        <w:tc>
          <w:tcPr>
            <w:tcW w:w="993" w:type="dxa"/>
          </w:tcPr>
          <w:p w:rsidR="00B20447" w:rsidRPr="00D1299D" w:rsidRDefault="005D7D5E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B20447" w:rsidRDefault="0038429E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color w:val="4F81BD" w:themeColor="accent1"/>
          <w:sz w:val="26"/>
          <w:szCs w:val="26"/>
        </w:rPr>
        <w:t xml:space="preserve">       </w:t>
      </w:r>
      <w:r w:rsidR="00B20447"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 ресурсного обеспечения муниципальной программы</w:t>
      </w:r>
    </w:p>
    <w:p w:rsidR="00B20447" w:rsidRDefault="00B20447" w:rsidP="007C0548">
      <w:pPr>
        <w:shd w:val="clear" w:color="auto" w:fill="FFFFFF"/>
        <w:tabs>
          <w:tab w:val="left" w:pos="1305"/>
        </w:tabs>
        <w:ind w:right="-284" w:firstLine="0"/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B20447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8429E">
        <w:rPr>
          <w:rFonts w:ascii="Times New Roman" w:hAnsi="Times New Roman" w:cs="Times New Roman"/>
          <w:sz w:val="28"/>
          <w:szCs w:val="28"/>
        </w:rPr>
        <w:t>5471,1</w:t>
      </w:r>
      <w:r w:rsidRPr="00B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10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2021 год – </w:t>
      </w:r>
      <w:r w:rsidR="0038429E">
        <w:rPr>
          <w:rFonts w:ascii="Times New Roman" w:hAnsi="Times New Roman" w:cs="Times New Roman"/>
          <w:sz w:val="28"/>
          <w:szCs w:val="28"/>
        </w:rPr>
        <w:t>1871,1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Pr="00BF2109" w:rsidRDefault="0038429E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2022 год – 1800</w:t>
      </w:r>
      <w:r w:rsidR="00B20447" w:rsidRPr="00BF2109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B20447" w:rsidRDefault="0038429E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447">
        <w:rPr>
          <w:rFonts w:ascii="Times New Roman" w:hAnsi="Times New Roman" w:cs="Times New Roman"/>
          <w:sz w:val="28"/>
          <w:szCs w:val="28"/>
        </w:rPr>
        <w:t>2023 год – 180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0447"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="00B20447" w:rsidRPr="00D1299D">
        <w:rPr>
          <w:rFonts w:ascii="Times New Roman" w:hAnsi="Times New Roman" w:cs="Times New Roman"/>
        </w:rPr>
        <w:t xml:space="preserve"> </w:t>
      </w:r>
    </w:p>
    <w:p w:rsidR="00B20447" w:rsidRPr="009D1AEC" w:rsidRDefault="00B20447" w:rsidP="007C05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DC0A33" w:rsidRDefault="00B20447" w:rsidP="007C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Объемы финансирования по каждому из разделов мероприятий </w:t>
      </w:r>
      <w:proofErr w:type="spellStart"/>
      <w:r w:rsidRPr="009D1AEC">
        <w:rPr>
          <w:rFonts w:ascii="Times New Roman" w:hAnsi="Times New Roman"/>
          <w:sz w:val="28"/>
          <w:szCs w:val="28"/>
        </w:rPr>
        <w:t>подпро</w:t>
      </w:r>
      <w:proofErr w:type="spellEnd"/>
      <w:r w:rsidRPr="009D1AEC">
        <w:rPr>
          <w:rFonts w:ascii="Times New Roman" w:hAnsi="Times New Roman"/>
          <w:sz w:val="28"/>
          <w:szCs w:val="28"/>
        </w:rPr>
        <w:softHyphen/>
      </w:r>
    </w:p>
    <w:p w:rsidR="00DC0A33" w:rsidRDefault="00DC0A33" w:rsidP="007C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DC0A33" w:rsidRDefault="00DC0A33" w:rsidP="00DC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B20447" w:rsidRPr="009D1AEC" w:rsidRDefault="00B20447" w:rsidP="00DC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B20447" w:rsidRPr="009D1AEC" w:rsidRDefault="00B20447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B20447" w:rsidRPr="00EF0F10" w:rsidTr="001F44B0">
        <w:trPr>
          <w:trHeight w:val="420"/>
        </w:trPr>
        <w:tc>
          <w:tcPr>
            <w:tcW w:w="660" w:type="dxa"/>
            <w:vMerge w:val="restart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Наименование подпрограммы/ о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567" w:type="dxa"/>
            <w:gridSpan w:val="3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F1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0F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F1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20447" w:rsidRPr="00EF0F10" w:rsidTr="001F44B0">
        <w:trPr>
          <w:trHeight w:val="225"/>
        </w:trPr>
        <w:tc>
          <w:tcPr>
            <w:tcW w:w="660" w:type="dxa"/>
            <w:vMerge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20447" w:rsidRPr="00EF0F10" w:rsidRDefault="00B20447" w:rsidP="007C0548">
            <w:pPr>
              <w:tabs>
                <w:tab w:val="left" w:pos="885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47" w:rsidRPr="00EF0F10" w:rsidTr="001F44B0">
        <w:tc>
          <w:tcPr>
            <w:tcW w:w="660" w:type="dxa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0447" w:rsidRPr="0008770D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20447" w:rsidRPr="00EF0F10" w:rsidRDefault="00B20447" w:rsidP="00EF0F10">
            <w:pPr>
              <w:ind w:right="-108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Развитие бесперебойного и г</w:t>
            </w:r>
            <w:r w:rsidRPr="00EF0F10">
              <w:rPr>
                <w:rFonts w:ascii="Times New Roman" w:hAnsi="Times New Roman" w:cs="Times New Roman"/>
              </w:rPr>
              <w:t>а</w:t>
            </w:r>
            <w:r w:rsidRPr="00EF0F10">
              <w:rPr>
                <w:rFonts w:ascii="Times New Roman" w:hAnsi="Times New Roman" w:cs="Times New Roman"/>
              </w:rPr>
              <w:t>рантированного удовлетворения потребности населения в части развития систем наружного о</w:t>
            </w:r>
            <w:r w:rsidRPr="00EF0F10">
              <w:rPr>
                <w:rFonts w:ascii="Times New Roman" w:hAnsi="Times New Roman" w:cs="Times New Roman"/>
              </w:rPr>
              <w:t>с</w:t>
            </w:r>
            <w:r w:rsidRPr="00EF0F10">
              <w:rPr>
                <w:rFonts w:ascii="Times New Roman" w:hAnsi="Times New Roman" w:cs="Times New Roman"/>
              </w:rPr>
              <w:t xml:space="preserve">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</w:t>
            </w:r>
            <w:r w:rsidRPr="00EF0F10">
              <w:rPr>
                <w:rFonts w:ascii="Times New Roman" w:hAnsi="Times New Roman" w:cs="Times New Roman"/>
              </w:rPr>
              <w:t>в</w:t>
            </w:r>
            <w:r w:rsidRPr="00EF0F1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291" w:type="dxa"/>
          </w:tcPr>
          <w:p w:rsidR="00B20447" w:rsidRPr="00EF0F10" w:rsidRDefault="0038429E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1671,1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right="33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Текущий ремонт и расширение систем наружного освещения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</w:t>
            </w:r>
            <w:r w:rsidRPr="00EF0F10">
              <w:rPr>
                <w:rFonts w:ascii="Times New Roman" w:hAnsi="Times New Roman" w:cs="Times New Roman"/>
              </w:rPr>
              <w:t>ь</w:t>
            </w:r>
            <w:r w:rsidRPr="00EF0F10">
              <w:rPr>
                <w:rFonts w:ascii="Times New Roman" w:hAnsi="Times New Roman" w:cs="Times New Roman"/>
              </w:rPr>
              <w:t>ского поселения Красноарме</w:t>
            </w:r>
            <w:r w:rsidRPr="00EF0F10">
              <w:rPr>
                <w:rFonts w:ascii="Times New Roman" w:hAnsi="Times New Roman" w:cs="Times New Roman"/>
              </w:rPr>
              <w:t>й</w:t>
            </w:r>
            <w:r w:rsidRPr="00EF0F10">
              <w:rPr>
                <w:rFonts w:ascii="Times New Roman" w:hAnsi="Times New Roman" w:cs="Times New Roman"/>
              </w:rPr>
              <w:t>ского района</w:t>
            </w: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50</w:t>
            </w:r>
            <w:r w:rsidR="00384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Приобретение электротоваров</w:t>
            </w: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447" w:rsidRPr="00EF0F10" w:rsidRDefault="00B2044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0447" w:rsidRPr="00094224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8429E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198" w:type="dxa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этапам реализации муниципальной 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Pr="00D1299D">
        <w:rPr>
          <w:b/>
          <w:bCs/>
          <w:sz w:val="28"/>
          <w:szCs w:val="28"/>
        </w:rPr>
        <w:t>рограммы.</w:t>
      </w:r>
    </w:p>
    <w:p w:rsidR="00B20447" w:rsidRPr="00D1299D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Общие положения</w:t>
      </w: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DC0A33" w:rsidRDefault="00DC0A33" w:rsidP="00DC0A33">
      <w:pPr>
        <w:pStyle w:val="ac"/>
        <w:spacing w:before="0" w:after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D1299D">
        <w:rPr>
          <w:sz w:val="28"/>
          <w:szCs w:val="28"/>
        </w:rPr>
        <w:tab/>
      </w:r>
      <w:r>
        <w:rPr>
          <w:sz w:val="28"/>
          <w:szCs w:val="28"/>
        </w:rPr>
        <w:t>8.1.1.</w:t>
      </w:r>
      <w:r w:rsidRPr="00D1299D">
        <w:rPr>
          <w:sz w:val="28"/>
          <w:szCs w:val="28"/>
        </w:rPr>
        <w:t>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0" w:name="sub_1012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8.1.2.1.</w:t>
      </w:r>
      <w:r w:rsidRPr="00D1299D">
        <w:rPr>
          <w:rFonts w:ascii="Times New Roman" w:hAnsi="Times New Roman" w:cs="Times New Roman"/>
          <w:sz w:val="28"/>
          <w:szCs w:val="28"/>
        </w:rPr>
        <w:t>На первом этапе осуществляется оценка эффективности реализ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="00DC0A33">
        <w:rPr>
          <w:rFonts w:ascii="Times New Roman" w:hAnsi="Times New Roman" w:cs="Times New Roman"/>
          <w:sz w:val="28"/>
          <w:szCs w:val="28"/>
        </w:rPr>
        <w:t xml:space="preserve">ции </w:t>
      </w:r>
      <w:r w:rsidRPr="00D1299D">
        <w:rPr>
          <w:rFonts w:ascii="Times New Roman" w:hAnsi="Times New Roman" w:cs="Times New Roman"/>
          <w:sz w:val="28"/>
          <w:szCs w:val="28"/>
        </w:rPr>
        <w:t>основных мероприятий, включенных в муниципальную программу, и включает:</w:t>
      </w:r>
    </w:p>
    <w:bookmarkEnd w:id="0"/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реализации мероприятий  и достижения ожидаемых неп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B20447" w:rsidRPr="00D1299D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 основных меропри</w:t>
      </w:r>
      <w:r w:rsidR="00B20447" w:rsidRPr="00D1299D">
        <w:rPr>
          <w:rFonts w:ascii="Times New Roman" w:hAnsi="Times New Roman" w:cs="Times New Roman"/>
          <w:sz w:val="28"/>
          <w:szCs w:val="28"/>
        </w:rPr>
        <w:t>я</w:t>
      </w:r>
      <w:r w:rsidR="00B20447" w:rsidRPr="00D1299D">
        <w:rPr>
          <w:rFonts w:ascii="Times New Roman" w:hAnsi="Times New Roman" w:cs="Times New Roman"/>
          <w:sz w:val="28"/>
          <w:szCs w:val="28"/>
        </w:rPr>
        <w:t>тий, входящих в муниципальную программу;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8.1.2.2.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реалии</w:t>
      </w:r>
      <w:r w:rsidR="00DC0A33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 в целом, включая оценку степени достиж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целей и решения задач муниципальной программы.</w:t>
      </w:r>
    </w:p>
    <w:bookmarkEnd w:id="1"/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основных мероприятий и достижения </w:t>
      </w: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ожидаемых непосредственных результатов их реализации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8.2.1.</w:t>
      </w:r>
      <w:r w:rsidRPr="00D1299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</w:t>
      </w:r>
      <w:r w:rsidRPr="00D1299D">
        <w:rPr>
          <w:rFonts w:ascii="Times New Roman" w:hAnsi="Times New Roman" w:cs="Times New Roman"/>
          <w:sz w:val="28"/>
          <w:szCs w:val="28"/>
        </w:rPr>
        <w:t>в</w:t>
      </w:r>
      <w:r w:rsidRPr="00D1299D">
        <w:rPr>
          <w:rFonts w:ascii="Times New Roman" w:hAnsi="Times New Roman" w:cs="Times New Roman"/>
          <w:sz w:val="28"/>
          <w:szCs w:val="28"/>
        </w:rPr>
        <w:t xml:space="preserve">ного мероприятия, как доля мероприятий выполненных в полном объеме 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по следующей формуле:</w:t>
      </w:r>
      <w:bookmarkEnd w:id="2"/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приятий, запланированных к реализации в отчетном году;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3" w:name="sub_1022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</w:t>
      </w:r>
      <w:r w:rsidRPr="00D1299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EF0F10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4" w:name="sub_10221"/>
      <w:bookmarkEnd w:id="3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8.2.2.1.</w:t>
      </w:r>
      <w:r w:rsidRPr="00D1299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посредственного результата реализации мероприятия (далее - результат),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="00EF0F10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ние составляет не менее 95% от запланированного и не хуже, чем значение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4"/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D1299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="00B20447" w:rsidRPr="00D1299D">
        <w:rPr>
          <w:rFonts w:ascii="Times New Roman" w:hAnsi="Times New Roman" w:cs="Times New Roman"/>
          <w:sz w:val="28"/>
          <w:szCs w:val="28"/>
        </w:rPr>
        <w:t>с</w:t>
      </w:r>
      <w:r w:rsidR="00B20447" w:rsidRPr="00D1299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="00B20447" w:rsidRPr="00D1299D">
        <w:rPr>
          <w:rFonts w:ascii="Times New Roman" w:hAnsi="Times New Roman" w:cs="Times New Roman"/>
          <w:sz w:val="28"/>
          <w:szCs w:val="28"/>
        </w:rPr>
        <w:t>ю</w:t>
      </w:r>
      <w:r w:rsidR="00B20447" w:rsidRPr="00D1299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В случае ухудшения значения показателя результата </w:t>
      </w:r>
      <w:proofErr w:type="gramStart"/>
      <w:r w:rsidR="00B20447" w:rsidRPr="00D12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срав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зуется несколько показателей, для оценки степени реализации мероприятия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пользуется среднее арифметическое значение отношений фактических знач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5" w:name="sub_10223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8.2.2.2.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тижение качественного результата.</w:t>
      </w:r>
    </w:p>
    <w:bookmarkEnd w:id="5"/>
    <w:p w:rsidR="00B20447" w:rsidRPr="00D1299D" w:rsidRDefault="00B20447" w:rsidP="007C0548">
      <w:pPr>
        <w:pStyle w:val="1"/>
        <w:ind w:right="-284"/>
        <w:jc w:val="left"/>
        <w:rPr>
          <w:rFonts w:ascii="Times New Roman" w:hAnsi="Times New Roman" w:cs="Times New Roman"/>
          <w:szCs w:val="28"/>
        </w:rPr>
      </w:pPr>
    </w:p>
    <w:p w:rsidR="00B20447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расходов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8.3.1.</w:t>
      </w:r>
      <w:r w:rsidRPr="00D1299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  <w:bookmarkEnd w:id="6"/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>ветствующей основного мероприятия в местном бюджете на отчетный год в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ответствии с действующей на момент проведения оценки эффективности ре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лизации редакцией муниципальной программы.</w:t>
      </w: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7" w:name="sub_1032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8.3.2.</w:t>
      </w:r>
      <w:r w:rsidRPr="00D1299D">
        <w:rPr>
          <w:rFonts w:ascii="Times New Roman" w:hAnsi="Times New Roman" w:cs="Times New Roman"/>
          <w:sz w:val="28"/>
          <w:szCs w:val="28"/>
        </w:rPr>
        <w:t>С учетом специфики конкретной муниципальной программы в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ков.</w:t>
      </w:r>
      <w:bookmarkEnd w:id="7"/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D1299D">
        <w:rPr>
          <w:sz w:val="28"/>
          <w:szCs w:val="28"/>
        </w:rPr>
        <w:t xml:space="preserve"> </w:t>
      </w:r>
    </w:p>
    <w:p w:rsidR="00B20447" w:rsidRPr="00D1299D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8" w:name="sub_104"/>
      <w:r>
        <w:rPr>
          <w:rFonts w:ascii="Times New Roman" w:hAnsi="Times New Roman" w:cs="Times New Roman"/>
          <w:sz w:val="28"/>
          <w:szCs w:val="28"/>
        </w:rPr>
        <w:t>8</w:t>
      </w:r>
      <w:r w:rsidRPr="00D12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 бюджета</w:t>
      </w:r>
    </w:p>
    <w:bookmarkEnd w:id="8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Эффективность использования бюджетных средств рассчитывается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33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A33" w:rsidRDefault="00DC0A33" w:rsidP="00DC0A33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каждого основного мероприятия как отношение степени реализации меропри</w:t>
      </w:r>
      <w:r w:rsidRPr="00D1299D">
        <w:rPr>
          <w:rFonts w:ascii="Times New Roman" w:hAnsi="Times New Roman" w:cs="Times New Roman"/>
          <w:sz w:val="28"/>
          <w:szCs w:val="28"/>
        </w:rPr>
        <w:t>я</w:t>
      </w:r>
      <w:r w:rsidRPr="00D1299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 бюджета по следующей формуле: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 бюджета;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мых из средств  бюджета;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B20447" w:rsidRDefault="00DC0A33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 основного мероприятия из  бюджета составляет менее 75%, по решению координатора муниципальной программы показатель оценки эффективности использования средств 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бюд</w:t>
      </w:r>
      <w:proofErr w:type="spellEnd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жета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Данный показатель рассчитывается по формуле: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новного мероприятия;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СС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</w:t>
      </w:r>
      <w:r w:rsidRPr="00D1299D">
        <w:rPr>
          <w:rFonts w:ascii="Times New Roman" w:hAnsi="Times New Roman" w:cs="Times New Roman"/>
          <w:sz w:val="28"/>
          <w:szCs w:val="28"/>
        </w:rPr>
        <w:t>ч</w:t>
      </w:r>
      <w:r w:rsidRPr="00D1299D">
        <w:rPr>
          <w:rFonts w:ascii="Times New Roman" w:hAnsi="Times New Roman" w:cs="Times New Roman"/>
          <w:sz w:val="28"/>
          <w:szCs w:val="28"/>
        </w:rPr>
        <w:t>ников.</w:t>
      </w:r>
    </w:p>
    <w:p w:rsidR="00B20447" w:rsidRPr="00D1299D" w:rsidRDefault="00B20447" w:rsidP="007C0548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9" w:name="sub_105"/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</w:t>
      </w:r>
    </w:p>
    <w:p w:rsidR="00B20447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</w:p>
    <w:p w:rsidR="00B20447" w:rsidRPr="00E00E45" w:rsidRDefault="00B20447" w:rsidP="007C0548">
      <w:pPr>
        <w:ind w:right="-284"/>
      </w:pPr>
    </w:p>
    <w:bookmarkEnd w:id="9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0" w:name="sub_1051"/>
      <w:r>
        <w:rPr>
          <w:rFonts w:ascii="Times New Roman" w:hAnsi="Times New Roman" w:cs="Times New Roman"/>
          <w:sz w:val="28"/>
          <w:szCs w:val="28"/>
        </w:rPr>
        <w:tab/>
        <w:t>8.5.1.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 w:cs="Times New Roman"/>
          <w:sz w:val="28"/>
          <w:szCs w:val="28"/>
        </w:rPr>
        <w:tab/>
        <w:t>8.5.2.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ра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bookmarkEnd w:id="11"/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Pr="00D1299D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фактически до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тигнутое на конец отчетного периода;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2" w:name="sub_1053"/>
      <w:r w:rsidRPr="00D1299D">
        <w:rPr>
          <w:rFonts w:ascii="Times New Roman" w:hAnsi="Times New Roman" w:cs="Times New Roman"/>
          <w:sz w:val="28"/>
          <w:szCs w:val="28"/>
        </w:rPr>
        <w:t>10.3. Степень реализации основного мероприятия рассчитывается по формуле:</w:t>
      </w:r>
    </w:p>
    <w:bookmarkEnd w:id="12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&gt;1, значение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 могут определяться коэффициенты значимости отдел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ных целевых показателей. При использовании коэффициентов значимости пр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>=1.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13" w:name="sub_106"/>
    </w:p>
    <w:p w:rsidR="00B20447" w:rsidRPr="00D1299D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основного мероприятия</w:t>
      </w:r>
    </w:p>
    <w:bookmarkEnd w:id="13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A7699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4" w:name="sub_1061"/>
      <w:r>
        <w:rPr>
          <w:rFonts w:ascii="Times New Roman" w:hAnsi="Times New Roman" w:cs="Times New Roman"/>
          <w:sz w:val="28"/>
          <w:szCs w:val="28"/>
        </w:rPr>
        <w:t xml:space="preserve">           8.6.1.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следую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щей формуле:</w:t>
      </w:r>
      <w:bookmarkEnd w:id="14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Э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ординатора муниципальной программы - эффективность использования фина</w:t>
      </w:r>
      <w:r w:rsidRPr="00D1299D">
        <w:rPr>
          <w:rFonts w:ascii="Times New Roman" w:hAnsi="Times New Roman" w:cs="Times New Roman"/>
          <w:sz w:val="28"/>
          <w:szCs w:val="28"/>
        </w:rPr>
        <w:t>н</w:t>
      </w:r>
      <w:r w:rsidRPr="00D1299D">
        <w:rPr>
          <w:rFonts w:ascii="Times New Roman" w:hAnsi="Times New Roman" w:cs="Times New Roman"/>
          <w:sz w:val="28"/>
          <w:szCs w:val="28"/>
        </w:rPr>
        <w:t>совых ресурсов на реализацию основного мероприятия.</w:t>
      </w:r>
      <w:proofErr w:type="gramEnd"/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5" w:name="sub_1062"/>
      <w:r>
        <w:rPr>
          <w:rFonts w:ascii="Times New Roman" w:hAnsi="Times New Roman" w:cs="Times New Roman"/>
          <w:sz w:val="28"/>
          <w:szCs w:val="28"/>
        </w:rPr>
        <w:tab/>
        <w:t>8.6.2.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 основного мероприятия признается в</w:t>
      </w:r>
      <w:r w:rsidRPr="00D1299D">
        <w:rPr>
          <w:rFonts w:ascii="Times New Roman" w:hAnsi="Times New Roman" w:cs="Times New Roman"/>
          <w:sz w:val="28"/>
          <w:szCs w:val="28"/>
        </w:rPr>
        <w:t>ы</w:t>
      </w:r>
      <w:r w:rsidRPr="00D1299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15"/>
    <w:p w:rsidR="00A76994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 основного мероприятия признается средней в случае, если значение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ЭР</w:t>
      </w:r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Эффективность реализации  основного мероприятия признается удовл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ЭР</w:t>
      </w:r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B20447"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 основного мероприятия признается неудовлетворительной.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16" w:name="sub_107"/>
      <w:r>
        <w:rPr>
          <w:rFonts w:ascii="Times New Roman" w:hAnsi="Times New Roman" w:cs="Times New Roman"/>
          <w:sz w:val="28"/>
          <w:szCs w:val="28"/>
        </w:rPr>
        <w:t>8.7</w:t>
      </w:r>
      <w:r w:rsidRPr="00D1299D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</w:t>
      </w:r>
    </w:p>
    <w:p w:rsidR="00B20447" w:rsidRPr="00D1299D" w:rsidRDefault="00B20447" w:rsidP="007C0548">
      <w:pPr>
        <w:pStyle w:val="1"/>
        <w:spacing w:before="0" w:after="0"/>
        <w:ind w:right="-284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bookmarkEnd w:id="16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7" w:name="sub_1071"/>
      <w:r>
        <w:rPr>
          <w:rFonts w:ascii="Times New Roman" w:hAnsi="Times New Roman" w:cs="Times New Roman"/>
          <w:sz w:val="28"/>
          <w:szCs w:val="28"/>
        </w:rPr>
        <w:tab/>
        <w:t>8.7.1.</w:t>
      </w:r>
      <w:r w:rsidRPr="00D1299D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>
        <w:rPr>
          <w:rFonts w:ascii="Times New Roman" w:hAnsi="Times New Roman" w:cs="Times New Roman"/>
          <w:sz w:val="28"/>
          <w:szCs w:val="28"/>
        </w:rPr>
        <w:tab/>
        <w:t>8.7.2.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характеризующего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bookmarkEnd w:id="18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харак</w:t>
      </w:r>
      <w:proofErr w:type="spellEnd"/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теризующего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ципальной программы, фактически достигнутое на конец отчетного периода;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ЗП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чи муниципальной программы.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19" w:name="sub_1073"/>
      <w:r>
        <w:rPr>
          <w:rFonts w:ascii="Times New Roman" w:hAnsi="Times New Roman" w:cs="Times New Roman"/>
          <w:sz w:val="28"/>
          <w:szCs w:val="28"/>
        </w:rPr>
        <w:tab/>
        <w:t>8.7.3.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 рассчитывается по формуле:</w:t>
      </w:r>
      <w:bookmarkEnd w:id="19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тора), характеризующего цели и задачи муниципального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76994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СД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</w:t>
      </w:r>
      <w:r w:rsidRPr="00D1299D">
        <w:rPr>
          <w:rFonts w:ascii="Times New Roman" w:hAnsi="Times New Roman" w:cs="Times New Roman"/>
          <w:sz w:val="28"/>
          <w:szCs w:val="28"/>
        </w:rPr>
        <w:t>т</w:t>
      </w:r>
      <w:r w:rsidRPr="00D1299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,где:</m:t>
          </m:r>
        </m:oMath>
      </m:oMathPara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D129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99D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B20447" w:rsidRPr="006F2CEE" w:rsidRDefault="00B20447" w:rsidP="007C0548">
      <w:pPr>
        <w:pStyle w:val="1"/>
        <w:ind w:right="-284"/>
        <w:rPr>
          <w:rFonts w:ascii="Times New Roman" w:hAnsi="Times New Roman" w:cs="Times New Roman"/>
          <w:sz w:val="28"/>
          <w:szCs w:val="28"/>
        </w:rPr>
      </w:pPr>
      <w:bookmarkStart w:id="20" w:name="sub_108"/>
      <w:r w:rsidRPr="006F2CEE">
        <w:rPr>
          <w:rFonts w:ascii="Times New Roman" w:hAnsi="Times New Roman" w:cs="Times New Roman"/>
          <w:sz w:val="28"/>
          <w:szCs w:val="28"/>
        </w:rPr>
        <w:t>8.8 Оценка эффективности реализации муниципальной программы</w:t>
      </w:r>
    </w:p>
    <w:bookmarkEnd w:id="20"/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1" w:name="sub_1081"/>
      <w:r>
        <w:rPr>
          <w:rFonts w:ascii="Times New Roman" w:hAnsi="Times New Roman" w:cs="Times New Roman"/>
          <w:sz w:val="28"/>
          <w:szCs w:val="28"/>
        </w:rPr>
        <w:tab/>
      </w:r>
      <w:r w:rsidR="00B20447">
        <w:rPr>
          <w:rFonts w:ascii="Times New Roman" w:hAnsi="Times New Roman" w:cs="Times New Roman"/>
          <w:sz w:val="28"/>
          <w:szCs w:val="28"/>
        </w:rPr>
        <w:t>8.8</w:t>
      </w:r>
      <w:r w:rsidR="00B20447" w:rsidRPr="00D1299D">
        <w:rPr>
          <w:rFonts w:ascii="Times New Roman" w:hAnsi="Times New Roman" w:cs="Times New Roman"/>
          <w:sz w:val="28"/>
          <w:szCs w:val="28"/>
        </w:rPr>
        <w:t>.1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основных мер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приятий по следующей формуле: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m:oMathPara>
        <m:oMath>
          <w:bookmarkEnd w:id="21"/>
          <w:proofErr w:type="spellStart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= 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+0,5 </m:t>
          </m:r>
          <w:proofErr w:type="spellStart"/>
          <m:r>
            <m:rPr>
              <m:nor/>
            </m:rPr>
            <w:rPr>
              <w:rFonts w:ascii="Times New Roman" w:hAnsi="Times New Roman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 где:</m:t>
          </m:r>
        </m:oMath>
      </m:oMathPara>
    </w:p>
    <w:p w:rsidR="00B20447" w:rsidRPr="002B01EA" w:rsidRDefault="00B20447" w:rsidP="007C054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коэффициент значимости 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k</w:t>
      </w:r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1299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(кассового исполнения) на реал</w:t>
      </w:r>
      <w:r w:rsidRPr="00D1299D">
        <w:rPr>
          <w:rFonts w:ascii="Times New Roman" w:hAnsi="Times New Roman" w:cs="Times New Roman"/>
          <w:sz w:val="28"/>
          <w:szCs w:val="28"/>
        </w:rPr>
        <w:t>и</w:t>
      </w:r>
      <w:r w:rsidRPr="00D1299D">
        <w:rPr>
          <w:rFonts w:ascii="Times New Roman" w:hAnsi="Times New Roman" w:cs="Times New Roman"/>
          <w:sz w:val="28"/>
          <w:szCs w:val="28"/>
        </w:rPr>
        <w:t>зацию j-той основного мероприятия в отчетном году;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 бюджета (кассового исполнения) на </w:t>
      </w:r>
      <w:r>
        <w:rPr>
          <w:rFonts w:ascii="Times New Roman" w:hAnsi="Times New Roman" w:cs="Times New Roman"/>
          <w:sz w:val="28"/>
          <w:szCs w:val="28"/>
        </w:rPr>
        <w:t>реалии</w:t>
      </w:r>
    </w:p>
    <w:p w:rsidR="00B20447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bookmarkStart w:id="22" w:name="sub_1082"/>
      <w:r>
        <w:rPr>
          <w:rFonts w:ascii="Times New Roman" w:hAnsi="Times New Roman" w:cs="Times New Roman"/>
          <w:sz w:val="28"/>
          <w:szCs w:val="28"/>
        </w:rPr>
        <w:tab/>
        <w:t>8.2.</w:t>
      </w:r>
      <w:r w:rsidRPr="00D1299D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 признается высокой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22"/>
    <w:p w:rsidR="00EF0F10" w:rsidRDefault="00EF0F10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рительной в случае, если значение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A76994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20447" w:rsidRDefault="00A76994" w:rsidP="00A7699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6F2CEE" w:rsidRDefault="00B20447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20447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B20447" w:rsidRPr="007D234B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20447" w:rsidRPr="007D234B" w:rsidRDefault="00B20447" w:rsidP="007C05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20447" w:rsidRPr="00BC3694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A76994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программы на бумажных и электронных носителях.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A769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типликативный эффект по результатам реализации муниципальной </w:t>
      </w:r>
      <w:r w:rsidR="00A76994">
        <w:rPr>
          <w:rFonts w:ascii="Times New Roman" w:hAnsi="Times New Roman" w:cs="Times New Roman"/>
          <w:sz w:val="28"/>
          <w:szCs w:val="28"/>
        </w:rPr>
        <w:t>программ-</w:t>
      </w:r>
      <w:proofErr w:type="gramEnd"/>
    </w:p>
    <w:p w:rsidR="00A76994" w:rsidRDefault="00A76994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A76994" w:rsidRDefault="00A76994" w:rsidP="00A7699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20447" w:rsidRPr="007D234B" w:rsidRDefault="00B20447" w:rsidP="00A7699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20447" w:rsidRPr="00BC3694" w:rsidRDefault="00B20447" w:rsidP="007C0548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76994">
        <w:rPr>
          <w:rFonts w:ascii="Times New Roman" w:hAnsi="Times New Roman" w:cs="Times New Roman"/>
          <w:sz w:val="28"/>
        </w:rPr>
        <w:t xml:space="preserve">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 w:rsidR="00A76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 Про</w:t>
      </w:r>
      <w:r w:rsidR="00A76994">
        <w:rPr>
          <w:rFonts w:ascii="Times New Roman" w:hAnsi="Times New Roman" w:cs="Times New Roman"/>
          <w:sz w:val="28"/>
        </w:rPr>
        <w:t xml:space="preserve">граммы: </w:t>
      </w:r>
      <w:r>
        <w:rPr>
          <w:rFonts w:ascii="Times New Roman" w:hAnsi="Times New Roman" w:cs="Times New Roman"/>
          <w:sz w:val="28"/>
        </w:rPr>
        <w:t>2021-2023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447"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20447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20447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BC369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20447" w:rsidRPr="00BC3694">
        <w:rPr>
          <w:rFonts w:ascii="Times New Roman" w:hAnsi="Times New Roman" w:cs="Times New Roman"/>
          <w:sz w:val="28"/>
          <w:szCs w:val="28"/>
        </w:rPr>
        <w:t>е</w:t>
      </w:r>
      <w:r w:rsidR="00B20447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20447">
        <w:rPr>
          <w:rFonts w:ascii="Times New Roman" w:hAnsi="Times New Roman" w:cs="Times New Roman"/>
          <w:sz w:val="28"/>
          <w:szCs w:val="28"/>
        </w:rPr>
        <w:t>.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B20447" w:rsidRPr="00BD2AB6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</w:t>
      </w:r>
      <w:r w:rsidR="00A76994">
        <w:rPr>
          <w:b w:val="0"/>
        </w:rPr>
        <w:t xml:space="preserve">    </w:t>
      </w:r>
      <w:r w:rsidRPr="00D1299D">
        <w:rPr>
          <w:b w:val="0"/>
        </w:rPr>
        <w:t>Е.Е.</w:t>
      </w:r>
      <w:r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p w:rsidR="00B20447" w:rsidRPr="00C737CC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20447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3626"/>
    <w:rsid w:val="000B3BAB"/>
    <w:rsid w:val="00121E22"/>
    <w:rsid w:val="0012435A"/>
    <w:rsid w:val="0016098A"/>
    <w:rsid w:val="001F44B0"/>
    <w:rsid w:val="002354B6"/>
    <w:rsid w:val="00265512"/>
    <w:rsid w:val="002862AC"/>
    <w:rsid w:val="002E6819"/>
    <w:rsid w:val="00326389"/>
    <w:rsid w:val="00376414"/>
    <w:rsid w:val="0038429E"/>
    <w:rsid w:val="0039275D"/>
    <w:rsid w:val="003F4B1E"/>
    <w:rsid w:val="003F7653"/>
    <w:rsid w:val="00416973"/>
    <w:rsid w:val="00423A9D"/>
    <w:rsid w:val="00486D15"/>
    <w:rsid w:val="00487F84"/>
    <w:rsid w:val="005517E7"/>
    <w:rsid w:val="0055316C"/>
    <w:rsid w:val="005A4BB0"/>
    <w:rsid w:val="005B3D79"/>
    <w:rsid w:val="005D7D5E"/>
    <w:rsid w:val="006409B2"/>
    <w:rsid w:val="00683A07"/>
    <w:rsid w:val="00782F10"/>
    <w:rsid w:val="007C0548"/>
    <w:rsid w:val="007D2921"/>
    <w:rsid w:val="00880F9F"/>
    <w:rsid w:val="00954616"/>
    <w:rsid w:val="009F1F39"/>
    <w:rsid w:val="00A7636B"/>
    <w:rsid w:val="00A76994"/>
    <w:rsid w:val="00AC2228"/>
    <w:rsid w:val="00B20447"/>
    <w:rsid w:val="00B63797"/>
    <w:rsid w:val="00B82D32"/>
    <w:rsid w:val="00BA1A7E"/>
    <w:rsid w:val="00C737CC"/>
    <w:rsid w:val="00D13402"/>
    <w:rsid w:val="00D53EA7"/>
    <w:rsid w:val="00D942AD"/>
    <w:rsid w:val="00DC0A33"/>
    <w:rsid w:val="00DD2360"/>
    <w:rsid w:val="00E16273"/>
    <w:rsid w:val="00E51D67"/>
    <w:rsid w:val="00E75171"/>
    <w:rsid w:val="00EF0F10"/>
    <w:rsid w:val="00F42E5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20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B2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B20447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04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B2044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B2044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B20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04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04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204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3454-67EB-4BFC-B68A-503605E6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38</cp:revision>
  <cp:lastPrinted>2021-11-16T11:26:00Z</cp:lastPrinted>
  <dcterms:created xsi:type="dcterms:W3CDTF">2015-11-24T06:39:00Z</dcterms:created>
  <dcterms:modified xsi:type="dcterms:W3CDTF">2021-12-03T10:46:00Z</dcterms:modified>
</cp:coreProperties>
</file>